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1"/>
        <w:id w:val="2006084469"/>
      </w:sdtPr>
      <w:sdtEndPr/>
      <w:sdtContent>
        <w:p w:rsidR="000A140A" w:rsidRPr="008C1718" w:rsidRDefault="009D60BF" w:rsidP="000A140A">
          <w:pPr>
            <w:pBdr>
              <w:top w:val="nil"/>
              <w:left w:val="nil"/>
              <w:bottom w:val="nil"/>
              <w:right w:val="nil"/>
              <w:between w:val="nil"/>
              <w:bar w:val="nil"/>
            </w:pBdr>
            <w:spacing w:line="276" w:lineRule="auto"/>
            <w:jc w:val="center"/>
            <w:rPr>
              <w:b/>
              <w:bCs/>
              <w:sz w:val="32"/>
              <w:szCs w:val="32"/>
              <w:lang w:val="id-ID"/>
            </w:rPr>
          </w:pPr>
          <w:r w:rsidRPr="008C1718">
            <w:rPr>
              <w:b/>
              <w:bCs/>
              <w:sz w:val="32"/>
              <w:szCs w:val="32"/>
              <w:lang w:val="id-ID"/>
            </w:rPr>
            <w:t>Evaluation of wind park tax incentives in Colombia</w:t>
          </w:r>
          <w:r w:rsidR="000A140A" w:rsidRPr="008C1718">
            <w:rPr>
              <w:b/>
              <w:bCs/>
              <w:sz w:val="32"/>
              <w:szCs w:val="32"/>
              <w:lang w:val="id-ID"/>
            </w:rPr>
            <w:t xml:space="preserve"> by means of Real Options</w:t>
          </w:r>
        </w:p>
      </w:sdtContent>
    </w:sdt>
    <w:sdt>
      <w:sdtPr>
        <w:tag w:val="goog_rdk_3"/>
        <w:id w:val="-2130543916"/>
      </w:sdtPr>
      <w:sdtEndPr/>
      <w:sdtContent>
        <w:p w:rsidR="000A140A" w:rsidRDefault="00BB186F" w:rsidP="000A140A">
          <w:pPr>
            <w:jc w:val="center"/>
            <w:rPr>
              <w:b/>
            </w:rPr>
          </w:pPr>
        </w:p>
      </w:sdtContent>
    </w:sdt>
    <w:bookmarkStart w:id="0" w:name="_GoBack" w:displacedByCustomXml="next"/>
    <w:bookmarkEnd w:id="0" w:displacedByCustomXml="next"/>
    <w:sdt>
      <w:sdtPr>
        <w:tag w:val="goog_rdk_7"/>
        <w:id w:val="-199561674"/>
        <w:showingPlcHdr/>
      </w:sdtPr>
      <w:sdtEndPr/>
      <w:sdtContent>
        <w:p w:rsidR="000A140A" w:rsidRDefault="000A140A" w:rsidP="000A140A">
          <w:pPr>
            <w:jc w:val="center"/>
          </w:pPr>
          <w:r>
            <w:t xml:space="preserve">     </w:t>
          </w:r>
        </w:p>
      </w:sdtContent>
    </w:sdt>
    <w:sdt>
      <w:sdtPr>
        <w:tag w:val="goog_rdk_8"/>
        <w:id w:val="73319226"/>
        <w:showingPlcHdr/>
      </w:sdtPr>
      <w:sdtEndPr/>
      <w:sdtContent>
        <w:p w:rsidR="000A140A" w:rsidRDefault="000A140A" w:rsidP="000A140A">
          <w:pPr>
            <w:jc w:val="center"/>
          </w:pPr>
          <w:r>
            <w:t xml:space="preserve">     </w:t>
          </w:r>
        </w:p>
      </w:sdtContent>
    </w:sdt>
    <w:tbl>
      <w:tblPr>
        <w:tblStyle w:val="3"/>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0A140A" w:rsidTr="00776D49">
        <w:tc>
          <w:tcPr>
            <w:tcW w:w="2802" w:type="dxa"/>
            <w:tcBorders>
              <w:top w:val="single" w:sz="4" w:space="0" w:color="000000"/>
              <w:left w:val="nil"/>
              <w:bottom w:val="single" w:sz="4" w:space="0" w:color="000000"/>
              <w:right w:val="nil"/>
            </w:tcBorders>
          </w:tcPr>
          <w:sdt>
            <w:sdtPr>
              <w:tag w:val="goog_rdk_9"/>
              <w:id w:val="-222840622"/>
            </w:sdtPr>
            <w:sdtEndPr/>
            <w:sdtContent>
              <w:p w:rsidR="000A140A" w:rsidRDefault="000A140A" w:rsidP="00776D49">
                <w:pPr>
                  <w:spacing w:before="120"/>
                  <w:jc w:val="both"/>
                  <w:rPr>
                    <w:b/>
                  </w:rPr>
                </w:pPr>
                <w:r>
                  <w:rPr>
                    <w:b/>
                  </w:rPr>
                  <w:t>Article Info</w:t>
                </w:r>
              </w:p>
            </w:sdtContent>
          </w:sdt>
        </w:tc>
        <w:tc>
          <w:tcPr>
            <w:tcW w:w="283" w:type="dxa"/>
            <w:tcBorders>
              <w:top w:val="single" w:sz="4" w:space="0" w:color="000000"/>
              <w:left w:val="nil"/>
              <w:bottom w:val="nil"/>
              <w:right w:val="nil"/>
            </w:tcBorders>
          </w:tcPr>
          <w:sdt>
            <w:sdtPr>
              <w:tag w:val="goog_rdk_10"/>
              <w:id w:val="-1524083841"/>
            </w:sdtPr>
            <w:sdtEndPr/>
            <w:sdtContent>
              <w:p w:rsidR="000A140A" w:rsidRDefault="00BB186F" w:rsidP="00776D49">
                <w:pPr>
                  <w:spacing w:before="120"/>
                  <w:jc w:val="center"/>
                </w:pPr>
              </w:p>
            </w:sdtContent>
          </w:sdt>
        </w:tc>
        <w:tc>
          <w:tcPr>
            <w:tcW w:w="5812" w:type="dxa"/>
            <w:tcBorders>
              <w:top w:val="single" w:sz="4" w:space="0" w:color="000000"/>
              <w:left w:val="nil"/>
              <w:bottom w:val="single" w:sz="4" w:space="0" w:color="000000"/>
              <w:right w:val="nil"/>
            </w:tcBorders>
          </w:tcPr>
          <w:sdt>
            <w:sdtPr>
              <w:tag w:val="goog_rdk_11"/>
              <w:id w:val="-1809380854"/>
            </w:sdtPr>
            <w:sdtEndPr/>
            <w:sdtContent>
              <w:p w:rsidR="000A140A" w:rsidRDefault="000A140A" w:rsidP="00776D49">
                <w:pPr>
                  <w:spacing w:before="120"/>
                  <w:rPr>
                    <w:color w:val="000000"/>
                    <w:sz w:val="24"/>
                    <w:szCs w:val="24"/>
                  </w:rPr>
                </w:pPr>
                <w:r>
                  <w:rPr>
                    <w:b/>
                    <w:color w:val="000000"/>
                  </w:rPr>
                  <w:t>ABSTRACT</w:t>
                </w:r>
              </w:p>
            </w:sdtContent>
          </w:sdt>
        </w:tc>
      </w:tr>
      <w:tr w:rsidR="000A140A" w:rsidTr="00776D49">
        <w:trPr>
          <w:trHeight w:val="1260"/>
        </w:trPr>
        <w:tc>
          <w:tcPr>
            <w:tcW w:w="2802" w:type="dxa"/>
            <w:tcBorders>
              <w:top w:val="single" w:sz="4" w:space="0" w:color="000000"/>
              <w:left w:val="nil"/>
              <w:bottom w:val="single" w:sz="4" w:space="0" w:color="000000"/>
              <w:right w:val="nil"/>
            </w:tcBorders>
          </w:tcPr>
          <w:sdt>
            <w:sdtPr>
              <w:tag w:val="goog_rdk_12"/>
              <w:id w:val="2123726331"/>
            </w:sdtPr>
            <w:sdtEndPr/>
            <w:sdtContent>
              <w:p w:rsidR="000A140A" w:rsidRDefault="000A140A" w:rsidP="00776D49">
                <w:pPr>
                  <w:spacing w:before="120" w:after="120"/>
                  <w:jc w:val="both"/>
                  <w:rPr>
                    <w:b/>
                    <w:i/>
                  </w:rPr>
                </w:pPr>
                <w:r>
                  <w:rPr>
                    <w:b/>
                    <w:i/>
                  </w:rPr>
                  <w:t>Article history:</w:t>
                </w:r>
              </w:p>
            </w:sdtContent>
          </w:sdt>
          <w:sdt>
            <w:sdtPr>
              <w:tag w:val="goog_rdk_13"/>
              <w:id w:val="1747608084"/>
            </w:sdtPr>
            <w:sdtEndPr/>
            <w:sdtContent>
              <w:p w:rsidR="000A140A" w:rsidRDefault="000A140A" w:rsidP="00776D49">
                <w:pPr>
                  <w:jc w:val="both"/>
                </w:pPr>
                <w:r>
                  <w:t xml:space="preserve">Received </w:t>
                </w:r>
              </w:p>
            </w:sdtContent>
          </w:sdt>
          <w:sdt>
            <w:sdtPr>
              <w:tag w:val="goog_rdk_14"/>
              <w:id w:val="-488870299"/>
            </w:sdtPr>
            <w:sdtEndPr/>
            <w:sdtContent>
              <w:p w:rsidR="000A140A" w:rsidRDefault="000A140A" w:rsidP="00776D49">
                <w:pPr>
                  <w:jc w:val="both"/>
                </w:pPr>
                <w:r>
                  <w:t xml:space="preserve">Revised </w:t>
                </w:r>
              </w:p>
            </w:sdtContent>
          </w:sdt>
          <w:sdt>
            <w:sdtPr>
              <w:tag w:val="goog_rdk_15"/>
              <w:id w:val="1825693154"/>
            </w:sdtPr>
            <w:sdtEndPr/>
            <w:sdtContent>
              <w:p w:rsidR="000A140A" w:rsidRDefault="000A140A" w:rsidP="00776D49">
                <w:pPr>
                  <w:jc w:val="both"/>
                </w:pPr>
                <w:r>
                  <w:t xml:space="preserve">Accepted </w:t>
                </w:r>
              </w:p>
            </w:sdtContent>
          </w:sdt>
          <w:sdt>
            <w:sdtPr>
              <w:tag w:val="goog_rdk_16"/>
              <w:id w:val="-2047588144"/>
            </w:sdtPr>
            <w:sdtEndPr/>
            <w:sdtContent>
              <w:p w:rsidR="000A140A" w:rsidRDefault="00BB186F" w:rsidP="00776D49">
                <w:pPr>
                  <w:jc w:val="both"/>
                </w:pPr>
              </w:p>
            </w:sdtContent>
          </w:sdt>
        </w:tc>
        <w:tc>
          <w:tcPr>
            <w:tcW w:w="283" w:type="dxa"/>
            <w:vMerge w:val="restart"/>
            <w:tcBorders>
              <w:top w:val="nil"/>
              <w:left w:val="nil"/>
              <w:bottom w:val="nil"/>
              <w:right w:val="nil"/>
            </w:tcBorders>
          </w:tcPr>
          <w:sdt>
            <w:sdtPr>
              <w:tag w:val="goog_rdk_17"/>
              <w:id w:val="-1383395321"/>
            </w:sdtPr>
            <w:sdtEndPr/>
            <w:sdtContent>
              <w:p w:rsidR="000A140A" w:rsidRDefault="00BB186F" w:rsidP="00776D49">
                <w:pPr>
                  <w:spacing w:before="120"/>
                  <w:jc w:val="both"/>
                </w:pPr>
              </w:p>
            </w:sdtContent>
          </w:sdt>
        </w:tc>
        <w:tc>
          <w:tcPr>
            <w:tcW w:w="5812" w:type="dxa"/>
            <w:vMerge w:val="restart"/>
            <w:tcBorders>
              <w:top w:val="single" w:sz="4" w:space="0" w:color="000000"/>
              <w:left w:val="nil"/>
              <w:bottom w:val="nil"/>
              <w:right w:val="nil"/>
            </w:tcBorders>
          </w:tcPr>
          <w:sdt>
            <w:sdtPr>
              <w:tag w:val="goog_rdk_18"/>
              <w:id w:val="769592946"/>
            </w:sdtPr>
            <w:sdtEndPr/>
            <w:sdtContent>
              <w:p w:rsidR="000A140A" w:rsidRPr="008C1718" w:rsidRDefault="000A140A" w:rsidP="00776D49">
                <w:pPr>
                  <w:spacing w:before="120"/>
                  <w:jc w:val="both"/>
                  <w:rPr>
                    <w:color w:val="000000"/>
                    <w:sz w:val="18"/>
                    <w:szCs w:val="18"/>
                  </w:rPr>
                </w:pPr>
                <w:r w:rsidRPr="008C1718">
                  <w:rPr>
                    <w:color w:val="000000"/>
                    <w:sz w:val="18"/>
                    <w:szCs w:val="18"/>
                  </w:rPr>
                  <w:t>The objective of this study is to assess tax incentives in Colombia to foster investment in wind parks. Fiscal incentives seek to diversify energy consumption with non-conventional renewable energy sources, since power is mostly generated by hydraulic force and since its price is impacted during dry seasons. The price of energy is modeled according to a regression toward the mean. This stochastic process was chosen because during droughts in Colombia there are price increases, which then return to their average value. This is an upward and downward spike behavior, as well as a regression toward the mean. Given price uncertainty and its impact on cashflow, wind parks were valued with real options to flatten the reversal for five years. The real option of flattening as an American call option was considered. Results show that, according to traditional valuation methods, wind parks in Colombia are not profitable even with tax incentives. However, according to the real options method, tax incentives do make these projects economically viable.</w:t>
                </w:r>
              </w:p>
            </w:sdtContent>
          </w:sdt>
        </w:tc>
      </w:tr>
      <w:tr w:rsidR="000A140A" w:rsidTr="00776D49">
        <w:trPr>
          <w:trHeight w:val="1220"/>
        </w:trPr>
        <w:tc>
          <w:tcPr>
            <w:tcW w:w="2802" w:type="dxa"/>
            <w:vMerge w:val="restart"/>
            <w:tcBorders>
              <w:top w:val="single" w:sz="4" w:space="0" w:color="000000"/>
              <w:left w:val="nil"/>
              <w:bottom w:val="single" w:sz="4" w:space="0" w:color="000000"/>
              <w:right w:val="nil"/>
            </w:tcBorders>
          </w:tcPr>
          <w:sdt>
            <w:sdtPr>
              <w:tag w:val="goog_rdk_19"/>
              <w:id w:val="1876433022"/>
            </w:sdtPr>
            <w:sdtEndPr/>
            <w:sdtContent>
              <w:p w:rsidR="000A140A" w:rsidRDefault="000A140A" w:rsidP="00776D49">
                <w:pPr>
                  <w:spacing w:before="120" w:after="120"/>
                  <w:jc w:val="both"/>
                  <w:rPr>
                    <w:b/>
                    <w:i/>
                  </w:rPr>
                </w:pPr>
                <w:r>
                  <w:rPr>
                    <w:b/>
                    <w:i/>
                  </w:rPr>
                  <w:t>Keyword:</w:t>
                </w:r>
              </w:p>
            </w:sdtContent>
          </w:sdt>
          <w:sdt>
            <w:sdtPr>
              <w:tag w:val="goog_rdk_20"/>
              <w:id w:val="-277257665"/>
            </w:sdtPr>
            <w:sdtEndPr/>
            <w:sdtContent>
              <w:p w:rsidR="000A140A" w:rsidRDefault="000A140A" w:rsidP="00776D49">
                <w:pPr>
                  <w:jc w:val="both"/>
                </w:pPr>
                <w:r>
                  <w:t>Real Options</w:t>
                </w:r>
              </w:p>
            </w:sdtContent>
          </w:sdt>
          <w:sdt>
            <w:sdtPr>
              <w:tag w:val="goog_rdk_21"/>
              <w:id w:val="1358470178"/>
            </w:sdtPr>
            <w:sdtEndPr/>
            <w:sdtContent>
              <w:p w:rsidR="000A140A" w:rsidRDefault="000A140A" w:rsidP="00776D49">
                <w:pPr>
                  <w:jc w:val="both"/>
                </w:pPr>
                <w:r w:rsidRPr="008319AA">
                  <w:t>Renewable energy</w:t>
                </w:r>
              </w:p>
            </w:sdtContent>
          </w:sdt>
          <w:sdt>
            <w:sdtPr>
              <w:tag w:val="goog_rdk_22"/>
              <w:id w:val="358786097"/>
            </w:sdtPr>
            <w:sdtEndPr/>
            <w:sdtContent>
              <w:p w:rsidR="000A140A" w:rsidRDefault="000A140A" w:rsidP="00776D49">
                <w:pPr>
                  <w:jc w:val="both"/>
                </w:pPr>
                <w:r w:rsidRPr="008319AA">
                  <w:t>Wind farm</w:t>
                </w:r>
              </w:p>
            </w:sdtContent>
          </w:sdt>
          <w:sdt>
            <w:sdtPr>
              <w:tag w:val="goog_rdk_23"/>
              <w:id w:val="1139839962"/>
            </w:sdtPr>
            <w:sdtEndPr/>
            <w:sdtContent>
              <w:p w:rsidR="000A140A" w:rsidRPr="008319AA" w:rsidRDefault="000A140A" w:rsidP="00776D49">
                <w:pPr>
                  <w:jc w:val="both"/>
                </w:pPr>
                <w:r w:rsidRPr="008319AA">
                  <w:t>Energy price</w:t>
                </w:r>
              </w:p>
            </w:sdtContent>
          </w:sdt>
        </w:tc>
        <w:tc>
          <w:tcPr>
            <w:tcW w:w="283" w:type="dxa"/>
            <w:vMerge/>
            <w:tcBorders>
              <w:top w:val="nil"/>
              <w:left w:val="nil"/>
              <w:bottom w:val="nil"/>
              <w:right w:val="nil"/>
            </w:tcBorders>
          </w:tcPr>
          <w:p w:rsidR="000A140A" w:rsidRDefault="00BB186F" w:rsidP="00776D49">
            <w:pPr>
              <w:widowControl w:val="0"/>
              <w:pBdr>
                <w:top w:val="nil"/>
                <w:left w:val="nil"/>
                <w:bottom w:val="nil"/>
                <w:right w:val="nil"/>
                <w:between w:val="nil"/>
              </w:pBdr>
              <w:spacing w:line="276" w:lineRule="auto"/>
              <w:rPr>
                <w:b/>
                <w:i/>
              </w:rPr>
            </w:pPr>
            <w:sdt>
              <w:sdtPr>
                <w:tag w:val="goog_rdk_25"/>
                <w:id w:val="-991638185"/>
              </w:sdtPr>
              <w:sdtEndPr/>
              <w:sdtContent/>
            </w:sdt>
          </w:p>
        </w:tc>
        <w:tc>
          <w:tcPr>
            <w:tcW w:w="5812" w:type="dxa"/>
            <w:vMerge/>
            <w:tcBorders>
              <w:top w:val="single" w:sz="4" w:space="0" w:color="000000"/>
              <w:left w:val="nil"/>
              <w:bottom w:val="nil"/>
              <w:right w:val="nil"/>
            </w:tcBorders>
          </w:tcPr>
          <w:p w:rsidR="000A140A" w:rsidRDefault="00BB186F" w:rsidP="00776D49">
            <w:pPr>
              <w:widowControl w:val="0"/>
              <w:pBdr>
                <w:top w:val="nil"/>
                <w:left w:val="nil"/>
                <w:bottom w:val="nil"/>
                <w:right w:val="nil"/>
                <w:between w:val="nil"/>
              </w:pBdr>
              <w:spacing w:line="276" w:lineRule="auto"/>
              <w:rPr>
                <w:b/>
                <w:i/>
              </w:rPr>
            </w:pPr>
            <w:sdt>
              <w:sdtPr>
                <w:tag w:val="goog_rdk_26"/>
                <w:id w:val="-275023515"/>
              </w:sdtPr>
              <w:sdtEndPr/>
              <w:sdtContent/>
            </w:sdt>
          </w:p>
        </w:tc>
      </w:tr>
      <w:tr w:rsidR="000A140A" w:rsidTr="00776D49">
        <w:trPr>
          <w:trHeight w:val="60"/>
        </w:trPr>
        <w:tc>
          <w:tcPr>
            <w:tcW w:w="2802" w:type="dxa"/>
            <w:vMerge/>
            <w:tcBorders>
              <w:top w:val="single" w:sz="4" w:space="0" w:color="000000"/>
              <w:left w:val="nil"/>
              <w:bottom w:val="single" w:sz="4" w:space="0" w:color="000000"/>
              <w:right w:val="nil"/>
            </w:tcBorders>
          </w:tcPr>
          <w:sdt>
            <w:sdtPr>
              <w:tag w:val="goog_rdk_27"/>
              <w:id w:val="1729038890"/>
            </w:sdtPr>
            <w:sdtEndPr/>
            <w:sdtContent>
              <w:p w:rsidR="000A140A" w:rsidRDefault="00BB186F" w:rsidP="00776D49">
                <w:pPr>
                  <w:widowControl w:val="0"/>
                  <w:pBdr>
                    <w:top w:val="nil"/>
                    <w:left w:val="nil"/>
                    <w:bottom w:val="nil"/>
                    <w:right w:val="nil"/>
                    <w:between w:val="nil"/>
                  </w:pBdr>
                  <w:spacing w:line="276" w:lineRule="auto"/>
                  <w:rPr>
                    <w:b/>
                    <w:i/>
                  </w:rPr>
                </w:pPr>
              </w:p>
            </w:sdtContent>
          </w:sdt>
        </w:tc>
        <w:tc>
          <w:tcPr>
            <w:tcW w:w="283" w:type="dxa"/>
            <w:vMerge/>
            <w:tcBorders>
              <w:top w:val="nil"/>
              <w:left w:val="nil"/>
              <w:bottom w:val="nil"/>
              <w:right w:val="nil"/>
            </w:tcBorders>
          </w:tcPr>
          <w:sdt>
            <w:sdtPr>
              <w:tag w:val="goog_rdk_28"/>
              <w:id w:val="989590540"/>
            </w:sdtPr>
            <w:sdtEndPr/>
            <w:sdtContent>
              <w:p w:rsidR="000A140A" w:rsidRDefault="00BB186F" w:rsidP="00776D49">
                <w:pPr>
                  <w:widowControl w:val="0"/>
                  <w:pBdr>
                    <w:top w:val="nil"/>
                    <w:left w:val="nil"/>
                    <w:bottom w:val="nil"/>
                    <w:right w:val="nil"/>
                    <w:between w:val="nil"/>
                  </w:pBdr>
                  <w:spacing w:line="276" w:lineRule="auto"/>
                  <w:rPr>
                    <w:b/>
                    <w:i/>
                  </w:rPr>
                </w:pPr>
              </w:p>
            </w:sdtContent>
          </w:sdt>
        </w:tc>
        <w:tc>
          <w:tcPr>
            <w:tcW w:w="5812" w:type="dxa"/>
            <w:tcBorders>
              <w:top w:val="nil"/>
              <w:left w:val="nil"/>
              <w:bottom w:val="single" w:sz="4" w:space="0" w:color="000000"/>
              <w:right w:val="nil"/>
            </w:tcBorders>
          </w:tcPr>
          <w:sdt>
            <w:sdtPr>
              <w:tag w:val="goog_rdk_29"/>
              <w:id w:val="-879391464"/>
            </w:sdtPr>
            <w:sdtEndPr/>
            <w:sdtContent>
              <w:p w:rsidR="000A140A" w:rsidRDefault="000A140A" w:rsidP="00776D49">
                <w:pPr>
                  <w:spacing w:before="120" w:after="120"/>
                  <w:jc w:val="right"/>
                  <w:rPr>
                    <w:i/>
                    <w:color w:val="000000"/>
                    <w:sz w:val="18"/>
                    <w:szCs w:val="18"/>
                  </w:rPr>
                </w:pPr>
                <w:r>
                  <w:rPr>
                    <w:i/>
                    <w:color w:val="000000"/>
                    <w:sz w:val="18"/>
                    <w:szCs w:val="18"/>
                  </w:rPr>
                  <w:t xml:space="preserve">Copyright © 2019 Institute of Advanced Engineering and Science. </w:t>
                </w:r>
                <w:r>
                  <w:rPr>
                    <w:i/>
                    <w:color w:val="000000"/>
                    <w:sz w:val="18"/>
                    <w:szCs w:val="18"/>
                  </w:rPr>
                  <w:br/>
                  <w:t>All rights reserved.</w:t>
                </w:r>
              </w:p>
            </w:sdtContent>
          </w:sdt>
        </w:tc>
      </w:tr>
      <w:tr w:rsidR="000A140A" w:rsidTr="00776D49">
        <w:tc>
          <w:tcPr>
            <w:tcW w:w="8897" w:type="dxa"/>
            <w:gridSpan w:val="3"/>
            <w:tcBorders>
              <w:top w:val="nil"/>
              <w:left w:val="nil"/>
              <w:bottom w:val="single" w:sz="4" w:space="0" w:color="000000"/>
              <w:right w:val="nil"/>
            </w:tcBorders>
          </w:tcPr>
          <w:sdt>
            <w:sdtPr>
              <w:tag w:val="goog_rdk_30"/>
              <w:id w:val="800198962"/>
            </w:sdtPr>
            <w:sdtEndPr/>
            <w:sdtContent>
              <w:p w:rsidR="000A140A" w:rsidRDefault="000A140A" w:rsidP="00776D49">
                <w:pPr>
                  <w:spacing w:before="120" w:after="120"/>
                  <w:rPr>
                    <w:b/>
                    <w:i/>
                  </w:rPr>
                </w:pPr>
                <w:r>
                  <w:rPr>
                    <w:b/>
                    <w:i/>
                  </w:rPr>
                  <w:t>Corresponding Author:</w:t>
                </w:r>
              </w:p>
            </w:sdtContent>
          </w:sdt>
          <w:sdt>
            <w:sdtPr>
              <w:tag w:val="goog_rdk_31"/>
              <w:id w:val="-334535820"/>
            </w:sdtPr>
            <w:sdtEndPr/>
            <w:sdtContent>
              <w:p w:rsidR="000A140A" w:rsidRDefault="000A140A" w:rsidP="00776D49">
                <w:r>
                  <w:t xml:space="preserve">Miguel Jiménez-Gómez, </w:t>
                </w:r>
              </w:p>
            </w:sdtContent>
          </w:sdt>
          <w:sdt>
            <w:sdtPr>
              <w:tag w:val="goog_rdk_32"/>
              <w:id w:val="-1373381987"/>
            </w:sdtPr>
            <w:sdtEndPr/>
            <w:sdtContent>
              <w:p w:rsidR="000A140A" w:rsidRDefault="000A140A" w:rsidP="00776D49">
                <w:r>
                  <w:t xml:space="preserve">Instituto </w:t>
                </w:r>
                <w:proofErr w:type="spellStart"/>
                <w:r>
                  <w:t>Tecnológico</w:t>
                </w:r>
                <w:proofErr w:type="spellEnd"/>
                <w:r>
                  <w:t xml:space="preserve"> </w:t>
                </w:r>
                <w:proofErr w:type="spellStart"/>
                <w:r>
                  <w:t>Metropolitano</w:t>
                </w:r>
                <w:proofErr w:type="spellEnd"/>
                <w:r>
                  <w:t xml:space="preserve"> - ITM,</w:t>
                </w:r>
              </w:p>
            </w:sdtContent>
          </w:sdt>
          <w:sdt>
            <w:sdtPr>
              <w:tag w:val="goog_rdk_33"/>
              <w:id w:val="475417501"/>
            </w:sdtPr>
            <w:sdtEndPr/>
            <w:sdtContent>
              <w:p w:rsidR="000A140A" w:rsidRDefault="000A140A" w:rsidP="00776D49">
                <w:r>
                  <w:t>Universidad Nacional de Colombia,</w:t>
                </w:r>
              </w:p>
            </w:sdtContent>
          </w:sdt>
          <w:sdt>
            <w:sdtPr>
              <w:tag w:val="goog_rdk_34"/>
              <w:id w:val="548116274"/>
            </w:sdtPr>
            <w:sdtEndPr/>
            <w:sdtContent>
              <w:p w:rsidR="000A140A" w:rsidRDefault="000A140A" w:rsidP="00776D49">
                <w:r w:rsidRPr="008319AA">
                  <w:t>Calle 54 A #30-01</w:t>
                </w:r>
                <w:r>
                  <w:t>, Medellín, Colombia.</w:t>
                </w:r>
              </w:p>
            </w:sdtContent>
          </w:sdt>
          <w:sdt>
            <w:sdtPr>
              <w:tag w:val="goog_rdk_35"/>
              <w:id w:val="-1258129005"/>
            </w:sdtPr>
            <w:sdtEndPr/>
            <w:sdtContent>
              <w:p w:rsidR="000A140A" w:rsidRDefault="000A140A" w:rsidP="00776D49">
                <w:r>
                  <w:t xml:space="preserve">Email: </w:t>
                </w:r>
                <w:hyperlink r:id="rId8" w:history="1">
                  <w:r w:rsidRPr="008319AA">
                    <w:t>luisjimenez@itm.edu.co</w:t>
                  </w:r>
                </w:hyperlink>
              </w:p>
              <w:p w:rsidR="000A140A" w:rsidRDefault="000A140A" w:rsidP="00776D49">
                <w:pPr>
                  <w:rPr>
                    <w:color w:val="000000"/>
                    <w:sz w:val="18"/>
                    <w:szCs w:val="18"/>
                  </w:rPr>
                </w:pPr>
                <w:r w:rsidRPr="008319AA">
                  <w:t xml:space="preserve">            lumjimenezgo@unal.edu.co</w:t>
                </w:r>
              </w:p>
            </w:sdtContent>
          </w:sdt>
        </w:tc>
      </w:tr>
    </w:tbl>
    <w:p w:rsidR="002F7316" w:rsidRDefault="002F7316" w:rsidP="002F7316">
      <w:pPr>
        <w:ind w:left="360"/>
        <w:rPr>
          <w:rFonts w:ascii="Arial" w:hAnsi="Arial" w:cs="Arial"/>
          <w:b/>
          <w:bCs/>
          <w:sz w:val="16"/>
        </w:rPr>
      </w:pPr>
    </w:p>
    <w:p w:rsidR="005F4EE8" w:rsidRPr="00A063FF" w:rsidRDefault="005F4EE8" w:rsidP="005F4EE8">
      <w:pPr>
        <w:rPr>
          <w:rFonts w:ascii="Arial" w:hAnsi="Arial" w:cs="Arial"/>
          <w:b/>
          <w:bCs/>
          <w:lang w:val="id-ID"/>
        </w:rPr>
      </w:pPr>
      <w:r w:rsidRPr="00A063FF">
        <w:rPr>
          <w:rFonts w:ascii="Arial" w:hAnsi="Arial" w:cs="Arial"/>
          <w:b/>
          <w:bCs/>
          <w:lang w:val="id-ID"/>
        </w:rPr>
        <w:t xml:space="preserve">1. </w:t>
      </w:r>
      <w:r w:rsidR="000A140A" w:rsidRPr="00A063FF">
        <w:rPr>
          <w:rFonts w:ascii="Arial" w:hAnsi="Arial" w:cs="Arial"/>
          <w:b/>
          <w:bCs/>
          <w:lang w:val="id-ID"/>
        </w:rPr>
        <w:t>INTRODUCTION</w:t>
      </w:r>
    </w:p>
    <w:p w:rsidR="006564D2" w:rsidRPr="006564D2" w:rsidRDefault="006564D2" w:rsidP="006564D2">
      <w:pPr>
        <w:ind w:firstLine="720"/>
        <w:jc w:val="both"/>
        <w:rPr>
          <w:rFonts w:ascii="Arial" w:hAnsi="Arial" w:cs="Arial"/>
          <w:lang w:val="id-ID"/>
        </w:rPr>
      </w:pPr>
      <w:r w:rsidRPr="006564D2">
        <w:rPr>
          <w:rFonts w:ascii="Arial" w:hAnsi="Arial" w:cs="Arial"/>
          <w:lang w:val="id-ID"/>
        </w:rPr>
        <w:t xml:space="preserve">Energy in Colombia is mostly generated by renewable sources, specially hydraulic power (80%). Therefore, energetic supply depends on the country’s climatic conditions. Given its geographical location, Colombia has seasons of abundant floods, called La Niña, as well as droughts with high winds, a phenomenon called El Niño. Both periods affect energy production in Colombia, yet El Niño has a more significant negative impact, since it threatens with power rationing and prices escalate [1]. During the droughts, dams are emptied and wind increases. Energy obtained from wind power represents only 0.14% approximately in a single wind park located a La Guajira, a region characterized for being windy all year round. </w:t>
      </w:r>
    </w:p>
    <w:p w:rsidR="006564D2" w:rsidRPr="006564D2" w:rsidRDefault="006564D2" w:rsidP="006564D2">
      <w:pPr>
        <w:ind w:firstLine="720"/>
        <w:jc w:val="both"/>
        <w:rPr>
          <w:rFonts w:ascii="Arial" w:hAnsi="Arial" w:cs="Arial"/>
          <w:lang w:val="id-ID"/>
        </w:rPr>
      </w:pPr>
      <w:r w:rsidRPr="006564D2">
        <w:rPr>
          <w:rFonts w:ascii="Arial" w:hAnsi="Arial" w:cs="Arial"/>
          <w:lang w:val="id-ID"/>
        </w:rPr>
        <w:t>Wind parks represent a complement to diversify energy sources. However, the high costs of these technologies prevent their development in Colombia. Traditional project valuation methods, such as Net Present Value (NPV) and Internal Return Rate (IRR), indicate that current market conditions do not favor investment. Yet, these valuation methods do not consider the strategic dimension of investments in renewable energy projects, given the risk and uncertainty associated with future rewards [2]. Traditional methods do not consider other dimensions of energy projects when they are highly uncertain and volatile [3]. Therefore, more sophisticated valuation techniques are needed to solve this, such as the Real Options theory, which considers the project as an investor with financial options. This method provides flexibility to exercise the option while waiting for the technological or market conditions to change [2].</w:t>
      </w:r>
    </w:p>
    <w:p w:rsidR="006564D2" w:rsidRPr="006564D2" w:rsidRDefault="006564D2" w:rsidP="006564D2">
      <w:pPr>
        <w:ind w:firstLine="720"/>
        <w:jc w:val="both"/>
        <w:rPr>
          <w:rFonts w:ascii="Arial" w:hAnsi="Arial" w:cs="Arial"/>
          <w:lang w:val="id-ID"/>
        </w:rPr>
      </w:pPr>
      <w:r w:rsidRPr="006564D2">
        <w:rPr>
          <w:rFonts w:ascii="Arial" w:hAnsi="Arial" w:cs="Arial"/>
          <w:lang w:val="id-ID"/>
        </w:rPr>
        <w:t xml:space="preserve">Random models based on a geometric Brownian motion (GBM) are commonly used in the Real Options method, considering a Wiener process which assumes that each price is independent from another. However, it also considers that the historic price route is irrelevant to predict future cost behavior, which is unrealistic in the case of energy production [4]. A GBM </w:t>
      </w:r>
      <w:r w:rsidRPr="006564D2">
        <w:rPr>
          <w:rFonts w:ascii="Arial" w:hAnsi="Arial" w:cs="Arial"/>
          <w:lang w:val="id-ID"/>
        </w:rPr>
        <w:lastRenderedPageBreak/>
        <w:t>assumes that investment yields in a project follows a log-normal distribution. Nevertheless, this is not true for energy projects, where price performance shows mean reversion, leaps and peaks [5]. The quickest solution to this problem is the use of a stochastic process that captures mean reversion and peaks in energy prices, which is the most uncertain variable in these projects. Energy price prediction plays an important role in sector investment and expansion.</w:t>
      </w:r>
    </w:p>
    <w:p w:rsidR="006564D2" w:rsidRPr="006564D2" w:rsidRDefault="006564D2" w:rsidP="006564D2">
      <w:pPr>
        <w:ind w:firstLine="720"/>
        <w:jc w:val="both"/>
        <w:rPr>
          <w:rFonts w:ascii="Arial" w:hAnsi="Arial" w:cs="Arial"/>
          <w:lang w:val="id-ID"/>
        </w:rPr>
      </w:pPr>
      <w:r w:rsidRPr="006564D2">
        <w:rPr>
          <w:rFonts w:ascii="Arial" w:hAnsi="Arial" w:cs="Arial"/>
          <w:lang w:val="id-ID"/>
        </w:rPr>
        <w:t>This paper’s contribution lies in the modeling of energy prices with its mean reversion and peaks, since some previous studies include the mean reversal, yet disregard price increases. The second contribution is the valuation of the wind park according to Real Options, analyzing the effect that the energy policy in Colombia has which encourages investment in energy generation projects from unconventional sources, as made by way of law 1715 of 2014 in Colombia.</w:t>
      </w:r>
    </w:p>
    <w:p w:rsidR="006564D2" w:rsidRPr="006564D2" w:rsidRDefault="006564D2" w:rsidP="006564D2">
      <w:pPr>
        <w:ind w:firstLine="720"/>
        <w:jc w:val="both"/>
        <w:rPr>
          <w:rFonts w:ascii="Arial" w:hAnsi="Arial" w:cs="Arial"/>
          <w:lang w:val="id-ID"/>
        </w:rPr>
      </w:pPr>
      <w:r w:rsidRPr="006564D2">
        <w:rPr>
          <w:rFonts w:ascii="Arial" w:hAnsi="Arial" w:cs="Arial"/>
          <w:lang w:val="id-ID"/>
        </w:rPr>
        <w:t>The academic growth of literature on real options in renewable energy shows the increasing interest in this subject. Ten articles reviewing the application of real options in renewable energy projects were found on the Scopus database [2], [6] - [14]. These studies consider energy prices uncertain variables of great relevance in renewable energy projects. Most studies modeled energy prices with a GBM, while just a few applied a mean reversion. It is common to find price subsidies in energy generation projects. Studies in Asia have established the Feed-in-Tariff (FiT) as an incentive measure for these projects. FiT guarantees a minimum energy sales price for some renewable energy projects, generally those where production is most costly, such as wind and solar technology. Some articles report the sale of CO2 as an additional entry into energy generation projects, which is modeled in the GBM. Lastly, the following facts regarding the application of Real Options in renewable energy are found: this method increases the value of wind projects in most scenarios [15]; it is highly effective when quantifying uncertainty in the planning of inversion in the development of renewable energy projects [16]; and it is economically more attractive when responding to the uncertainty of the energy market [17].</w:t>
      </w:r>
    </w:p>
    <w:p w:rsidR="006564D2" w:rsidRPr="006564D2" w:rsidRDefault="006564D2" w:rsidP="006564D2">
      <w:pPr>
        <w:ind w:firstLine="720"/>
        <w:jc w:val="both"/>
        <w:rPr>
          <w:rFonts w:ascii="Arial" w:hAnsi="Arial" w:cs="Arial"/>
          <w:lang w:val="id-ID"/>
        </w:rPr>
      </w:pPr>
      <w:r w:rsidRPr="006564D2">
        <w:rPr>
          <w:rFonts w:ascii="Arial" w:hAnsi="Arial" w:cs="Arial"/>
          <w:lang w:val="id-ID"/>
        </w:rPr>
        <w:t>Dixit &amp; Pindyck, Trigeorgis &amp; Amram, and Kulatilaka made the most important contributions to the theory of real options. Subsequently, this theory was applied to investment in different sectors, including the energy sector. Most common applications of Real Options in the literature fall into three main categories:</w:t>
      </w:r>
    </w:p>
    <w:p w:rsidR="006564D2" w:rsidRPr="006564D2" w:rsidRDefault="006564D2" w:rsidP="006564D2">
      <w:pPr>
        <w:ind w:firstLine="720"/>
        <w:jc w:val="both"/>
        <w:rPr>
          <w:rFonts w:ascii="Arial" w:hAnsi="Arial" w:cs="Arial"/>
          <w:lang w:val="id-ID"/>
        </w:rPr>
      </w:pPr>
      <w:r w:rsidRPr="006564D2">
        <w:rPr>
          <w:rFonts w:ascii="Arial" w:hAnsi="Arial" w:cs="Arial"/>
          <w:lang w:val="id-ID"/>
        </w:rPr>
        <w:t>•</w:t>
      </w:r>
      <w:r w:rsidRPr="006564D2">
        <w:rPr>
          <w:rFonts w:ascii="Arial" w:hAnsi="Arial" w:cs="Arial"/>
          <w:lang w:val="id-ID"/>
        </w:rPr>
        <w:tab/>
        <w:t>analytical methods that quantify a project’s flexibility;</w:t>
      </w:r>
    </w:p>
    <w:p w:rsidR="006564D2" w:rsidRPr="006564D2" w:rsidRDefault="006564D2" w:rsidP="006564D2">
      <w:pPr>
        <w:ind w:left="1440" w:hanging="720"/>
        <w:jc w:val="both"/>
        <w:rPr>
          <w:rFonts w:ascii="Arial" w:hAnsi="Arial" w:cs="Arial"/>
          <w:lang w:val="id-ID"/>
        </w:rPr>
      </w:pPr>
      <w:r w:rsidRPr="006564D2">
        <w:rPr>
          <w:rFonts w:ascii="Arial" w:hAnsi="Arial" w:cs="Arial"/>
          <w:lang w:val="id-ID"/>
        </w:rPr>
        <w:t>•</w:t>
      </w:r>
      <w:r w:rsidRPr="006564D2">
        <w:rPr>
          <w:rFonts w:ascii="Arial" w:hAnsi="Arial" w:cs="Arial"/>
          <w:lang w:val="id-ID"/>
        </w:rPr>
        <w:tab/>
        <w:t>mallet methods such as binomial trees taken directly from extended finances to real assets;</w:t>
      </w:r>
    </w:p>
    <w:p w:rsidR="006564D2" w:rsidRPr="006564D2" w:rsidRDefault="006564D2" w:rsidP="006564D2">
      <w:pPr>
        <w:ind w:firstLine="720"/>
        <w:jc w:val="both"/>
        <w:rPr>
          <w:rFonts w:ascii="Arial" w:hAnsi="Arial" w:cs="Arial"/>
          <w:lang w:val="id-ID"/>
        </w:rPr>
      </w:pPr>
      <w:r w:rsidRPr="006564D2">
        <w:rPr>
          <w:rFonts w:ascii="Arial" w:hAnsi="Arial" w:cs="Arial"/>
          <w:lang w:val="id-ID"/>
        </w:rPr>
        <w:t>•</w:t>
      </w:r>
      <w:r w:rsidRPr="006564D2">
        <w:rPr>
          <w:rFonts w:ascii="Arial" w:hAnsi="Arial" w:cs="Arial"/>
          <w:lang w:val="id-ID"/>
        </w:rPr>
        <w:tab/>
        <w:t xml:space="preserve">the Monte Carlo method. </w:t>
      </w:r>
    </w:p>
    <w:p w:rsidR="006564D2" w:rsidRPr="006564D2" w:rsidRDefault="006564D2" w:rsidP="006564D2">
      <w:pPr>
        <w:ind w:firstLine="720"/>
        <w:jc w:val="both"/>
        <w:rPr>
          <w:rFonts w:ascii="Arial" w:hAnsi="Arial" w:cs="Arial"/>
          <w:lang w:val="id-ID"/>
        </w:rPr>
      </w:pPr>
      <w:r w:rsidRPr="006564D2">
        <w:rPr>
          <w:rFonts w:ascii="Arial" w:hAnsi="Arial" w:cs="Arial"/>
          <w:lang w:val="id-ID"/>
        </w:rPr>
        <w:t>Kozlova [9] conducted a literature review on the valuation of renewable energy through Real Options where all 100 papers analyzed used one of these three categories and applied stochastic processes such as GBM and mean reversion to model uncertain variables, specially for energy prices. Gazheli &amp; Bergh [2] also found this in the literature review on wind and solar energy inversions by means of real options.</w:t>
      </w:r>
    </w:p>
    <w:p w:rsidR="006564D2" w:rsidRDefault="006564D2" w:rsidP="008C2A3F">
      <w:pPr>
        <w:ind w:firstLine="720"/>
        <w:jc w:val="both"/>
        <w:rPr>
          <w:rFonts w:ascii="Arial" w:hAnsi="Arial" w:cs="Arial"/>
          <w:lang w:val="id-ID"/>
        </w:rPr>
      </w:pPr>
    </w:p>
    <w:p w:rsidR="005F4EE8" w:rsidRPr="00A063FF" w:rsidRDefault="005F4EE8" w:rsidP="005F4EE8">
      <w:pPr>
        <w:jc w:val="both"/>
        <w:rPr>
          <w:rFonts w:ascii="Arial" w:hAnsi="Arial" w:cs="Arial"/>
        </w:rPr>
      </w:pPr>
    </w:p>
    <w:p w:rsidR="005F4EE8" w:rsidRPr="00A063FF" w:rsidRDefault="005F4EE8" w:rsidP="005F4EE8">
      <w:pPr>
        <w:rPr>
          <w:rFonts w:ascii="Arial" w:hAnsi="Arial" w:cs="Arial"/>
          <w:b/>
          <w:bCs/>
          <w:lang w:val="id-ID"/>
        </w:rPr>
      </w:pPr>
      <w:r w:rsidRPr="00A063FF">
        <w:rPr>
          <w:rFonts w:ascii="Arial" w:hAnsi="Arial" w:cs="Arial"/>
          <w:b/>
          <w:bCs/>
          <w:lang w:val="id-ID"/>
        </w:rPr>
        <w:t xml:space="preserve">2. </w:t>
      </w:r>
      <w:r w:rsidR="004E2D16" w:rsidRPr="00A063FF">
        <w:rPr>
          <w:rFonts w:ascii="Arial" w:hAnsi="Arial" w:cs="Arial"/>
          <w:b/>
          <w:bCs/>
          <w:lang w:val="id-ID"/>
        </w:rPr>
        <w:t>RESEARCH METHOD</w:t>
      </w:r>
    </w:p>
    <w:p w:rsidR="006564D2" w:rsidRPr="00210425" w:rsidRDefault="006564D2" w:rsidP="006564D2">
      <w:pPr>
        <w:ind w:firstLine="720"/>
        <w:jc w:val="both"/>
        <w:rPr>
          <w:rFonts w:ascii="Arial" w:hAnsi="Arial" w:cs="Arial"/>
          <w:lang w:val="id-ID"/>
        </w:rPr>
      </w:pPr>
      <w:r w:rsidRPr="006564D2">
        <w:rPr>
          <w:rFonts w:ascii="Arial" w:hAnsi="Arial" w:cs="Arial"/>
          <w:lang w:val="id-ID"/>
        </w:rPr>
        <w:t xml:space="preserve">This paper applies Real Options for the deferral of a wind park in Colombia. Data on the only wind park in Colombia, called Jepírachi, with a capacity of 19.5 MW, was used. The amount of energy produced in this </w:t>
      </w:r>
      <w:r w:rsidRPr="00210425">
        <w:rPr>
          <w:rFonts w:ascii="Arial" w:hAnsi="Arial" w:cs="Arial"/>
          <w:lang w:val="id-ID"/>
        </w:rPr>
        <w:t>project in a year was obtained. The operating and maintenance costs and the current initial investment of these projects according to IRENA (International Renewable Energy Agency) were used (</w:t>
      </w:r>
      <w:r w:rsidR="00C92B19" w:rsidRPr="00210425">
        <w:rPr>
          <w:rFonts w:ascii="Arial" w:hAnsi="Arial" w:cs="Arial"/>
          <w:lang w:val="id-ID"/>
        </w:rPr>
        <w:t xml:space="preserve">Table </w:t>
      </w:r>
      <w:r w:rsidRPr="00210425">
        <w:rPr>
          <w:rFonts w:ascii="Arial" w:hAnsi="Arial" w:cs="Arial"/>
          <w:lang w:val="id-ID"/>
        </w:rPr>
        <w:t>1). Cash flow projection for the wind park was estimated for 25 years with these data. The uncertain variable modeled was energy price. The real option of flattening the project is valued by the binomial tree method with a five-year maturity. Real Options valuation was made excluding tax incentives, but including law 1715 of 2014 incentives.</w:t>
      </w:r>
    </w:p>
    <w:p w:rsidR="00E52890" w:rsidRPr="00210425" w:rsidRDefault="00E52890" w:rsidP="006564D2">
      <w:pPr>
        <w:ind w:firstLine="720"/>
        <w:jc w:val="both"/>
        <w:rPr>
          <w:rFonts w:ascii="Arial" w:hAnsi="Arial" w:cs="Arial"/>
          <w:lang w:val="id-ID"/>
        </w:rPr>
      </w:pPr>
    </w:p>
    <w:p w:rsidR="00E52890" w:rsidRPr="00210425" w:rsidRDefault="00E52890" w:rsidP="00E52890">
      <w:pPr>
        <w:ind w:firstLine="720"/>
        <w:jc w:val="center"/>
        <w:rPr>
          <w:rFonts w:ascii="Arial" w:hAnsi="Arial" w:cs="Arial"/>
          <w:lang w:val="id-ID"/>
        </w:rPr>
      </w:pPr>
      <w:r w:rsidRPr="00210425">
        <w:rPr>
          <w:rFonts w:ascii="Arial" w:hAnsi="Arial" w:cs="Arial"/>
        </w:rPr>
        <w:t>Table 1. Data for cash flow projection.</w:t>
      </w:r>
    </w:p>
    <w:tbl>
      <w:tblPr>
        <w:tblW w:w="5103" w:type="dxa"/>
        <w:jc w:val="center"/>
        <w:tblBorders>
          <w:bottom w:val="single" w:sz="4" w:space="0" w:color="000000"/>
        </w:tblBorders>
        <w:tblLayout w:type="fixed"/>
        <w:tblLook w:val="0000" w:firstRow="0" w:lastRow="0" w:firstColumn="0" w:lastColumn="0" w:noHBand="0" w:noVBand="0"/>
      </w:tblPr>
      <w:tblGrid>
        <w:gridCol w:w="3119"/>
        <w:gridCol w:w="1984"/>
      </w:tblGrid>
      <w:tr w:rsidR="006564D2" w:rsidRPr="00210425" w:rsidTr="006564D2">
        <w:trPr>
          <w:jc w:val="center"/>
        </w:trPr>
        <w:tc>
          <w:tcPr>
            <w:tcW w:w="3119" w:type="dxa"/>
            <w:tcBorders>
              <w:top w:val="single" w:sz="4" w:space="0" w:color="000000"/>
              <w:bottom w:val="single" w:sz="4" w:space="0" w:color="000000"/>
            </w:tcBorders>
          </w:tcPr>
          <w:sdt>
            <w:sdtPr>
              <w:rPr>
                <w:sz w:val="16"/>
                <w:szCs w:val="16"/>
              </w:rPr>
              <w:tag w:val="goog_rdk_53"/>
              <w:id w:val="-656688196"/>
            </w:sdtPr>
            <w:sdtEndPr/>
            <w:sdtContent>
              <w:p w:rsidR="006564D2" w:rsidRPr="00210425" w:rsidRDefault="006564D2" w:rsidP="006564D2">
                <w:pPr>
                  <w:jc w:val="center"/>
                  <w:rPr>
                    <w:sz w:val="16"/>
                    <w:szCs w:val="16"/>
                  </w:rPr>
                </w:pPr>
                <w:r w:rsidRPr="00210425">
                  <w:rPr>
                    <w:sz w:val="16"/>
                    <w:szCs w:val="16"/>
                  </w:rPr>
                  <w:t>Variable</w:t>
                </w:r>
              </w:p>
            </w:sdtContent>
          </w:sdt>
        </w:tc>
        <w:tc>
          <w:tcPr>
            <w:tcW w:w="1984" w:type="dxa"/>
            <w:tcBorders>
              <w:top w:val="single" w:sz="4" w:space="0" w:color="000000"/>
              <w:bottom w:val="single" w:sz="4" w:space="0" w:color="000000"/>
            </w:tcBorders>
          </w:tcPr>
          <w:sdt>
            <w:sdtPr>
              <w:rPr>
                <w:sz w:val="16"/>
                <w:szCs w:val="16"/>
              </w:rPr>
              <w:tag w:val="goog_rdk_54"/>
              <w:id w:val="-2009586161"/>
            </w:sdtPr>
            <w:sdtEndPr/>
            <w:sdtContent>
              <w:p w:rsidR="006564D2" w:rsidRPr="00210425" w:rsidRDefault="006564D2" w:rsidP="006564D2">
                <w:pPr>
                  <w:jc w:val="center"/>
                  <w:rPr>
                    <w:sz w:val="16"/>
                    <w:szCs w:val="16"/>
                  </w:rPr>
                </w:pPr>
                <w:r w:rsidRPr="00210425">
                  <w:rPr>
                    <w:sz w:val="16"/>
                    <w:szCs w:val="16"/>
                  </w:rPr>
                  <w:t>Worth</w:t>
                </w:r>
              </w:p>
            </w:sdtContent>
          </w:sdt>
        </w:tc>
      </w:tr>
      <w:tr w:rsidR="006564D2" w:rsidRPr="00210425" w:rsidTr="006564D2">
        <w:trPr>
          <w:jc w:val="center"/>
        </w:trPr>
        <w:tc>
          <w:tcPr>
            <w:tcW w:w="3119" w:type="dxa"/>
            <w:tcBorders>
              <w:top w:val="single" w:sz="4" w:space="0" w:color="000000"/>
            </w:tcBorders>
          </w:tcPr>
          <w:sdt>
            <w:sdtPr>
              <w:rPr>
                <w:sz w:val="16"/>
                <w:szCs w:val="16"/>
              </w:rPr>
              <w:tag w:val="goog_rdk_56"/>
              <w:id w:val="-915238551"/>
            </w:sdtPr>
            <w:sdtEndPr/>
            <w:sdtContent>
              <w:p w:rsidR="006564D2" w:rsidRPr="00210425" w:rsidRDefault="006564D2" w:rsidP="006564D2">
                <w:pPr>
                  <w:jc w:val="center"/>
                  <w:rPr>
                    <w:sz w:val="16"/>
                    <w:szCs w:val="16"/>
                  </w:rPr>
                </w:pPr>
                <w:r w:rsidRPr="00210425">
                  <w:rPr>
                    <w:sz w:val="16"/>
                    <w:szCs w:val="16"/>
                  </w:rPr>
                  <w:t>Operation and maintenance fixed costs</w:t>
                </w:r>
              </w:p>
            </w:sdtContent>
          </w:sdt>
        </w:tc>
        <w:tc>
          <w:tcPr>
            <w:tcW w:w="1984" w:type="dxa"/>
            <w:tcBorders>
              <w:top w:val="single" w:sz="4" w:space="0" w:color="000000"/>
            </w:tcBorders>
          </w:tcPr>
          <w:p w:rsidR="006564D2" w:rsidRPr="00210425" w:rsidRDefault="006564D2" w:rsidP="006564D2">
            <w:pPr>
              <w:jc w:val="center"/>
              <w:rPr>
                <w:sz w:val="16"/>
                <w:szCs w:val="16"/>
              </w:rPr>
            </w:pPr>
            <w:r w:rsidRPr="00210425">
              <w:rPr>
                <w:sz w:val="16"/>
                <w:szCs w:val="16"/>
              </w:rPr>
              <w:t>70 USD/MWh</w:t>
            </w:r>
          </w:p>
        </w:tc>
      </w:tr>
      <w:tr w:rsidR="006564D2" w:rsidRPr="00210425" w:rsidTr="006564D2">
        <w:trPr>
          <w:jc w:val="center"/>
        </w:trPr>
        <w:tc>
          <w:tcPr>
            <w:tcW w:w="3119" w:type="dxa"/>
          </w:tcPr>
          <w:sdt>
            <w:sdtPr>
              <w:rPr>
                <w:sz w:val="16"/>
                <w:szCs w:val="16"/>
              </w:rPr>
              <w:tag w:val="goog_rdk_59"/>
              <w:id w:val="-1234004910"/>
            </w:sdtPr>
            <w:sdtEndPr/>
            <w:sdtContent>
              <w:p w:rsidR="006564D2" w:rsidRPr="00210425" w:rsidRDefault="006564D2" w:rsidP="006564D2">
                <w:pPr>
                  <w:jc w:val="center"/>
                  <w:rPr>
                    <w:sz w:val="16"/>
                    <w:szCs w:val="16"/>
                  </w:rPr>
                </w:pPr>
                <w:r w:rsidRPr="00210425">
                  <w:rPr>
                    <w:sz w:val="16"/>
                    <w:szCs w:val="16"/>
                  </w:rPr>
                  <w:t>Nominal capacity</w:t>
                </w:r>
              </w:p>
            </w:sdtContent>
          </w:sdt>
        </w:tc>
        <w:tc>
          <w:tcPr>
            <w:tcW w:w="1984" w:type="dxa"/>
          </w:tcPr>
          <w:p w:rsidR="006564D2" w:rsidRPr="00210425" w:rsidRDefault="006564D2" w:rsidP="006564D2">
            <w:pPr>
              <w:jc w:val="center"/>
              <w:rPr>
                <w:sz w:val="16"/>
                <w:szCs w:val="16"/>
              </w:rPr>
            </w:pPr>
            <w:r w:rsidRPr="00210425">
              <w:rPr>
                <w:sz w:val="16"/>
                <w:szCs w:val="16"/>
              </w:rPr>
              <w:t>19.5 MW</w:t>
            </w:r>
          </w:p>
        </w:tc>
      </w:tr>
      <w:tr w:rsidR="006564D2" w:rsidRPr="00210425" w:rsidTr="006564D2">
        <w:trPr>
          <w:jc w:val="center"/>
        </w:trPr>
        <w:tc>
          <w:tcPr>
            <w:tcW w:w="3119" w:type="dxa"/>
          </w:tcPr>
          <w:sdt>
            <w:sdtPr>
              <w:rPr>
                <w:sz w:val="16"/>
                <w:szCs w:val="16"/>
              </w:rPr>
              <w:tag w:val="goog_rdk_62"/>
              <w:id w:val="23147492"/>
            </w:sdtPr>
            <w:sdtEndPr/>
            <w:sdtContent>
              <w:p w:rsidR="006564D2" w:rsidRPr="00210425" w:rsidRDefault="006564D2" w:rsidP="006564D2">
                <w:pPr>
                  <w:jc w:val="center"/>
                  <w:rPr>
                    <w:sz w:val="16"/>
                    <w:szCs w:val="16"/>
                  </w:rPr>
                </w:pPr>
                <w:r w:rsidRPr="00210425">
                  <w:rPr>
                    <w:sz w:val="16"/>
                    <w:szCs w:val="16"/>
                  </w:rPr>
                  <w:t>Investment cost</w:t>
                </w:r>
              </w:p>
            </w:sdtContent>
          </w:sdt>
        </w:tc>
        <w:tc>
          <w:tcPr>
            <w:tcW w:w="1984" w:type="dxa"/>
          </w:tcPr>
          <w:p w:rsidR="006564D2" w:rsidRPr="00210425" w:rsidRDefault="006564D2" w:rsidP="006564D2">
            <w:pPr>
              <w:jc w:val="center"/>
              <w:rPr>
                <w:sz w:val="16"/>
                <w:szCs w:val="16"/>
              </w:rPr>
            </w:pPr>
            <w:r w:rsidRPr="00210425">
              <w:rPr>
                <w:sz w:val="16"/>
                <w:szCs w:val="16"/>
              </w:rPr>
              <w:t>1,477,000 USD/MW</w:t>
            </w:r>
          </w:p>
        </w:tc>
      </w:tr>
      <w:tr w:rsidR="006564D2" w:rsidRPr="00210425" w:rsidTr="006564D2">
        <w:trPr>
          <w:jc w:val="center"/>
        </w:trPr>
        <w:tc>
          <w:tcPr>
            <w:tcW w:w="3119" w:type="dxa"/>
          </w:tcPr>
          <w:p w:rsidR="006564D2" w:rsidRPr="00210425" w:rsidRDefault="006564D2" w:rsidP="006564D2">
            <w:pPr>
              <w:jc w:val="center"/>
              <w:rPr>
                <w:sz w:val="16"/>
                <w:szCs w:val="16"/>
              </w:rPr>
            </w:pPr>
            <w:r w:rsidRPr="00210425">
              <w:rPr>
                <w:sz w:val="16"/>
                <w:szCs w:val="16"/>
              </w:rPr>
              <w:t>Production</w:t>
            </w:r>
          </w:p>
        </w:tc>
        <w:tc>
          <w:tcPr>
            <w:tcW w:w="1984" w:type="dxa"/>
            <w:vAlign w:val="center"/>
          </w:tcPr>
          <w:p w:rsidR="006564D2" w:rsidRPr="00210425" w:rsidRDefault="006564D2" w:rsidP="006564D2">
            <w:pPr>
              <w:jc w:val="center"/>
              <w:rPr>
                <w:sz w:val="16"/>
                <w:szCs w:val="16"/>
              </w:rPr>
            </w:pPr>
            <w:r w:rsidRPr="00210425">
              <w:rPr>
                <w:sz w:val="16"/>
                <w:szCs w:val="16"/>
              </w:rPr>
              <w:t>72,000 MWh/year</w:t>
            </w:r>
          </w:p>
        </w:tc>
      </w:tr>
      <w:tr w:rsidR="006564D2" w:rsidRPr="00210425" w:rsidTr="006564D2">
        <w:trPr>
          <w:jc w:val="center"/>
        </w:trPr>
        <w:tc>
          <w:tcPr>
            <w:tcW w:w="3119" w:type="dxa"/>
            <w:tcBorders>
              <w:bottom w:val="single" w:sz="4" w:space="0" w:color="000000"/>
            </w:tcBorders>
          </w:tcPr>
          <w:p w:rsidR="006564D2" w:rsidRPr="00210425" w:rsidRDefault="006564D2" w:rsidP="006564D2">
            <w:pPr>
              <w:jc w:val="center"/>
              <w:rPr>
                <w:sz w:val="16"/>
                <w:szCs w:val="16"/>
              </w:rPr>
            </w:pPr>
            <w:r w:rsidRPr="00210425">
              <w:rPr>
                <w:sz w:val="16"/>
                <w:szCs w:val="16"/>
              </w:rPr>
              <w:t>CO</w:t>
            </w:r>
            <w:r w:rsidRPr="00210425">
              <w:rPr>
                <w:sz w:val="16"/>
                <w:szCs w:val="16"/>
                <w:vertAlign w:val="subscript"/>
              </w:rPr>
              <w:t>2</w:t>
            </w:r>
            <w:r w:rsidRPr="00210425">
              <w:rPr>
                <w:sz w:val="16"/>
                <w:szCs w:val="16"/>
              </w:rPr>
              <w:t xml:space="preserve"> tons</w:t>
            </w:r>
          </w:p>
        </w:tc>
        <w:tc>
          <w:tcPr>
            <w:tcW w:w="1984" w:type="dxa"/>
            <w:tcBorders>
              <w:bottom w:val="single" w:sz="4" w:space="0" w:color="000000"/>
            </w:tcBorders>
            <w:vAlign w:val="center"/>
          </w:tcPr>
          <w:p w:rsidR="006564D2" w:rsidRPr="00210425" w:rsidRDefault="006564D2" w:rsidP="006564D2">
            <w:pPr>
              <w:jc w:val="center"/>
              <w:rPr>
                <w:sz w:val="16"/>
                <w:szCs w:val="16"/>
              </w:rPr>
            </w:pPr>
            <w:r w:rsidRPr="00210425">
              <w:rPr>
                <w:sz w:val="16"/>
                <w:szCs w:val="16"/>
              </w:rPr>
              <w:t>15,277.35 tCO</w:t>
            </w:r>
            <w:r w:rsidRPr="00210425">
              <w:rPr>
                <w:sz w:val="16"/>
                <w:szCs w:val="16"/>
                <w:vertAlign w:val="subscript"/>
              </w:rPr>
              <w:t>2</w:t>
            </w:r>
            <w:r w:rsidRPr="00210425">
              <w:rPr>
                <w:sz w:val="16"/>
                <w:szCs w:val="16"/>
              </w:rPr>
              <w:t>/year</w:t>
            </w:r>
          </w:p>
        </w:tc>
      </w:tr>
    </w:tbl>
    <w:p w:rsidR="006564D2" w:rsidRPr="00210425" w:rsidRDefault="00E52890" w:rsidP="006564D2">
      <w:pPr>
        <w:pStyle w:val="Normal1"/>
        <w:spacing w:line="480" w:lineRule="auto"/>
        <w:jc w:val="center"/>
        <w:rPr>
          <w:rFonts w:ascii="Arial" w:hAnsi="Arial" w:cs="Arial"/>
          <w:b/>
          <w:sz w:val="20"/>
          <w:szCs w:val="20"/>
        </w:rPr>
      </w:pPr>
      <w:r w:rsidRPr="00210425">
        <w:rPr>
          <w:rFonts w:ascii="Arial" w:eastAsia="Times New Roman" w:hAnsi="Arial" w:cs="Arial"/>
          <w:sz w:val="20"/>
          <w:szCs w:val="20"/>
          <w:lang w:eastAsia="es-CO"/>
        </w:rPr>
        <w:t xml:space="preserve">Source: </w:t>
      </w:r>
      <w:r w:rsidRPr="00210425">
        <w:rPr>
          <w:rFonts w:ascii="Arial" w:eastAsia="Times New Roman" w:hAnsi="Arial" w:cs="Arial"/>
          <w:sz w:val="20"/>
          <w:szCs w:val="20"/>
          <w:lang w:eastAsia="es-CO"/>
        </w:rPr>
        <w:fldChar w:fldCharType="begin" w:fldLock="1"/>
      </w:r>
      <w:r w:rsidRPr="00210425">
        <w:rPr>
          <w:rFonts w:ascii="Arial" w:eastAsia="Times New Roman" w:hAnsi="Arial" w:cs="Arial"/>
          <w:sz w:val="20"/>
          <w:szCs w:val="20"/>
          <w:lang w:eastAsia="es-CO"/>
        </w:rPr>
        <w:instrText>ADDIN CSL_CITATION {"citationItems":[{"id":"ITEM-1","itemData":{"DOI":"10.1016/j.renene.2008.04.015","ISBN":"09601481 (ISSN)","ISSN":"09601481","abstract":"This paper presents some technical details, operational experiences, and lessons learnt by the Colombian public utility - Empresas Públicas de Medellín - with a recently installed 19.5 MW wind park in the northern region of Colombia - province of La Guajira. This is the first ever wind park feeding to the electricity network in Colombia. The Jepirachi Wind Park was commissioned in April 2004 and it has to date accumulated nearly 180,000 h of operation. During that time 15 NORDEX N60/1.3 MW turbines have fed electricity to the Colombian main electricity grid. This work describes the park layout, including meteorological stations installed in the surroundings and the wind regime prevailing in the zone. Details are also given about remote monitoring of the Wind Park and individual turbines, through the Supervisory, Control and Data Acquisition system (SCADA Nordex Control 2). Since July 2004, Empresas Públicas de Medellín (EEPPM) and Universidad de Los Andes-Bogotá, Colombia have been working together in a wind park performance monitoring programme. This has permitted both institutions to learn more rapidly matters relating to evaluation, planning and operation of wind parks exposed to extreme climatic conditions like those present in the semi-desert region of the Guajira. This work describes the wind park operation, where individual wind turbines have yielded monthly production capacity factors as high as 65-75%; values which are high when compared to similar turbines installed elsewhere. Accordingly, levels of electrical energy production of up to 1750 kWh/m2-year per turbine have been measured, exceeding typical values reported in the wind energy literature. A series of operational and technical troubles have become evident, which are related to some of the particular features of the climate and the wind regime at the site of the Jepirachi Wind Park. Because of these local features it is suggested that a greater level of uncertainty (limiting the validity of methods and hypotheses) may exist in the study and planning of future wind parks in regions such as La Guajira. ©2008 Elsevier Ltd. All rights reserved.","author":[{"dropping-particle":"","family":"Pinilla","given":"Alvaro","non-dropping-particle":"","parse-names":false,"suffix":""},{"dropping-particle":"","family":"Rodriguez","given":"Luis","non-dropping-particle":"","parse-names":false,"suffix":""},{"dropping-particle":"","family":"Trujillo","given":"Rodrigo","non-dropping-particle":"","parse-names":false,"suffix":""}],"container-title":"Renewable Energy","id":"ITEM-1","issue":"1","issued":{"date-parts":[["2009"]]},"page":"48-52","title":"Performance evaluation of Jepirachi Wind Park","type":"article-journal","volume":"34"},"uris":["http://www.mendeley.com/documents/?uuid=d1654662-6651-471f-9065-192be2f3dea4"]},{"id":"ITEM-2","itemData":{"URL":"https://www.irena.org/costs/Power-Generation-Costs/Wind-Power","author":[{"dropping-particle":"","family":"IRENA","given":"","non-dropping-particle":"","parse-names":false,"suffix":""}],"id":"ITEM-2","issued":{"date-parts":[["2019"]]},"title":"Wind power","type":"webpage"},"uris":["http://www.mendeley.com/documents/?uuid=75953a93-9baa-4b38-be02-190858bbd7bf"]}],"mendeley":{"formattedCitation":"[18], [19]","plainTextFormattedCitation":"[18], [19]","previouslyFormattedCitation":"(IRENA, 2019; Pinilla, Rodriguez, &amp; Trujillo, 2009)"},"properties":{"noteIndex":0},"schema":"https://github.com/citation-style-language/schema/raw/master/csl-citation.json"}</w:instrText>
      </w:r>
      <w:r w:rsidRPr="00210425">
        <w:rPr>
          <w:rFonts w:ascii="Arial" w:eastAsia="Times New Roman" w:hAnsi="Arial" w:cs="Arial"/>
          <w:sz w:val="20"/>
          <w:szCs w:val="20"/>
          <w:lang w:eastAsia="es-CO"/>
        </w:rPr>
        <w:fldChar w:fldCharType="separate"/>
      </w:r>
      <w:r w:rsidRPr="00210425">
        <w:rPr>
          <w:rFonts w:ascii="Arial" w:eastAsia="Times New Roman" w:hAnsi="Arial" w:cs="Arial"/>
          <w:sz w:val="20"/>
          <w:szCs w:val="20"/>
          <w:lang w:eastAsia="es-CO"/>
        </w:rPr>
        <w:t>[18], [19]</w:t>
      </w:r>
      <w:r w:rsidRPr="00210425">
        <w:rPr>
          <w:rFonts w:ascii="Arial" w:eastAsia="Times New Roman" w:hAnsi="Arial" w:cs="Arial"/>
          <w:sz w:val="20"/>
          <w:szCs w:val="20"/>
          <w:lang w:eastAsia="es-CO"/>
        </w:rPr>
        <w:fldChar w:fldCharType="end"/>
      </w:r>
    </w:p>
    <w:p w:rsidR="006564D2" w:rsidRPr="00210425" w:rsidRDefault="006564D2" w:rsidP="006564D2">
      <w:pPr>
        <w:rPr>
          <w:rFonts w:ascii="Arial" w:hAnsi="Arial" w:cs="Arial"/>
          <w:b/>
        </w:rPr>
      </w:pPr>
      <w:r w:rsidRPr="00210425">
        <w:rPr>
          <w:rFonts w:ascii="Arial" w:hAnsi="Arial" w:cs="Arial"/>
          <w:b/>
        </w:rPr>
        <w:lastRenderedPageBreak/>
        <w:t>2.1 Real option valuation on deferral</w:t>
      </w:r>
    </w:p>
    <w:p w:rsidR="006564D2" w:rsidRPr="00210425" w:rsidRDefault="006564D2" w:rsidP="006564D2">
      <w:pPr>
        <w:ind w:firstLine="720"/>
        <w:jc w:val="both"/>
        <w:rPr>
          <w:rFonts w:ascii="Arial" w:hAnsi="Arial" w:cs="Arial"/>
        </w:rPr>
      </w:pPr>
      <w:r w:rsidRPr="00210425">
        <w:rPr>
          <w:rFonts w:ascii="Arial" w:hAnsi="Arial" w:cs="Arial"/>
        </w:rPr>
        <w:t>Real Options was a term coined by Myers in 1977, referring to options in investment opportunities as deferral, expanding, exchanging, suspending or abandoning a project. Generally, Real options are not part of a buy and sell market. A real option asset does not trade in a market and is subject to strategic interactions with its surroundings. Each real option is unique depending on its context and requires a personalized assessment [20].</w:t>
      </w:r>
    </w:p>
    <w:p w:rsidR="006564D2" w:rsidRPr="00210425" w:rsidRDefault="006564D2" w:rsidP="006564D2">
      <w:pPr>
        <w:ind w:firstLine="720"/>
        <w:jc w:val="both"/>
        <w:rPr>
          <w:rFonts w:ascii="Arial" w:hAnsi="Arial" w:cs="Arial"/>
        </w:rPr>
      </w:pPr>
      <w:r w:rsidRPr="00210425">
        <w:rPr>
          <w:rFonts w:ascii="Arial" w:hAnsi="Arial" w:cs="Arial"/>
        </w:rPr>
        <w:t>A company or project’s investment opportunities are quantified in real options and are calculated with methods of financial option valuation. This is the quantification of flexibility, so the project’s NPV by real options consists of two components: (a) traditional static NPV, and (b) flexibility, which captures real option values. To quantify flexibility, traditional models are used, such as the Black-Scholes analytical method, a discrete equation that includes binomial, trinomial trees, and the Monte Carlo simulation. However, like real options, they are mainly American because decisions can be made at any time until the investment opportunity disappears. Therefore, the discrete valuation model is applied more frequently [21].</w:t>
      </w:r>
    </w:p>
    <w:p w:rsidR="006564D2" w:rsidRPr="00210425" w:rsidRDefault="006564D2" w:rsidP="006564D2">
      <w:pPr>
        <w:ind w:firstLine="720"/>
        <w:jc w:val="both"/>
        <w:rPr>
          <w:rFonts w:ascii="Arial" w:hAnsi="Arial" w:cs="Arial"/>
        </w:rPr>
      </w:pPr>
      <w:r w:rsidRPr="00210425">
        <w:rPr>
          <w:rFonts w:ascii="Arial" w:hAnsi="Arial" w:cs="Arial"/>
        </w:rPr>
        <w:t>The real option for investment deferral is the decision to wait for better conditions to implement a project. It is similar to a call option on the present value of a project’s expected cash flow. In the deferral real option, the anticipated realization of the project is compared with the value of not carrying it out, while waiting on market conditions that favor investment [6]. This real option is of the American type, where the decision is evaluated at every moment in time. Therefore, assessment should be performed by the binomial tree method that is appropriate for American options.</w:t>
      </w:r>
    </w:p>
    <w:p w:rsidR="006564D2" w:rsidRPr="00210425" w:rsidRDefault="006564D2" w:rsidP="006564D2">
      <w:pPr>
        <w:ind w:firstLine="720"/>
        <w:jc w:val="both"/>
        <w:rPr>
          <w:rFonts w:ascii="Arial" w:hAnsi="Arial" w:cs="Arial"/>
        </w:rPr>
      </w:pPr>
      <w:r w:rsidRPr="00210425">
        <w:rPr>
          <w:rFonts w:ascii="Arial" w:hAnsi="Arial" w:cs="Arial"/>
        </w:rPr>
        <w:t>The binomial tree method consists in estimating the price of an underlying asset over a period of time, and the financial option can be exercised at any time during a given period. This method considers short time intervals to evaluate the price value, which could be considered as fluctuating in only two ways: (a) u percentage increases (u&gt;1), or (b) d percentage decreases (d&lt;1). In the binomial tree of a single step (</w:t>
      </w:r>
      <w:r w:rsidR="00C92B19" w:rsidRPr="00210425">
        <w:rPr>
          <w:rFonts w:ascii="Arial" w:hAnsi="Arial" w:cs="Arial"/>
        </w:rPr>
        <w:t xml:space="preserve">Figure </w:t>
      </w:r>
      <w:r w:rsidRPr="00210425">
        <w:rPr>
          <w:rFonts w:ascii="Arial" w:hAnsi="Arial" w:cs="Arial"/>
        </w:rPr>
        <w:t xml:space="preserve">1), the current price of the underlying asset is S0, and the price at the time of maturity may be </w:t>
      </w:r>
      <w:proofErr w:type="spellStart"/>
      <w:r w:rsidRPr="00210425">
        <w:rPr>
          <w:rFonts w:ascii="Arial" w:hAnsi="Arial" w:cs="Arial"/>
        </w:rPr>
        <w:t>S</w:t>
      </w:r>
      <w:r w:rsidRPr="00210425">
        <w:rPr>
          <w:rFonts w:ascii="Arial" w:hAnsi="Arial" w:cs="Arial"/>
          <w:vertAlign w:val="subscript"/>
        </w:rPr>
        <w:t>u</w:t>
      </w:r>
      <w:proofErr w:type="spellEnd"/>
      <w:r w:rsidRPr="00210425">
        <w:rPr>
          <w:rFonts w:ascii="Arial" w:hAnsi="Arial" w:cs="Arial"/>
        </w:rPr>
        <w:t xml:space="preserve"> o S</w:t>
      </w:r>
      <w:r w:rsidRPr="00210425">
        <w:rPr>
          <w:rFonts w:ascii="Arial" w:hAnsi="Arial" w:cs="Arial"/>
          <w:vertAlign w:val="subscript"/>
        </w:rPr>
        <w:t>d</w:t>
      </w:r>
      <w:r w:rsidRPr="00210425">
        <w:rPr>
          <w:rFonts w:ascii="Arial" w:hAnsi="Arial" w:cs="Arial"/>
        </w:rPr>
        <w:t xml:space="preserve">, where </w:t>
      </w:r>
      <w:proofErr w:type="spellStart"/>
      <w:r w:rsidRPr="00210425">
        <w:rPr>
          <w:rFonts w:ascii="Arial" w:hAnsi="Arial" w:cs="Arial"/>
        </w:rPr>
        <w:t>S</w:t>
      </w:r>
      <w:r w:rsidRPr="00210425">
        <w:rPr>
          <w:rFonts w:ascii="Arial" w:hAnsi="Arial" w:cs="Arial"/>
          <w:vertAlign w:val="subscript"/>
        </w:rPr>
        <w:t>u</w:t>
      </w:r>
      <w:proofErr w:type="spellEnd"/>
      <w:r w:rsidRPr="00210425">
        <w:rPr>
          <w:rFonts w:ascii="Arial" w:hAnsi="Arial" w:cs="Arial"/>
        </w:rPr>
        <w:t>=S</w:t>
      </w:r>
      <w:r w:rsidRPr="00210425">
        <w:rPr>
          <w:rFonts w:ascii="Arial" w:hAnsi="Arial" w:cs="Arial"/>
          <w:vertAlign w:val="subscript"/>
        </w:rPr>
        <w:t>0</w:t>
      </w:r>
      <w:r w:rsidRPr="00210425">
        <w:rPr>
          <w:rFonts w:ascii="Arial" w:hAnsi="Arial" w:cs="Arial"/>
        </w:rPr>
        <w:t>*u and S</w:t>
      </w:r>
      <w:r w:rsidRPr="00210425">
        <w:rPr>
          <w:rFonts w:ascii="Arial" w:hAnsi="Arial" w:cs="Arial"/>
          <w:vertAlign w:val="subscript"/>
        </w:rPr>
        <w:t>d</w:t>
      </w:r>
      <w:r w:rsidRPr="00210425">
        <w:rPr>
          <w:rFonts w:ascii="Arial" w:hAnsi="Arial" w:cs="Arial"/>
        </w:rPr>
        <w:t>=S</w:t>
      </w:r>
      <w:r w:rsidRPr="00210425">
        <w:rPr>
          <w:rFonts w:ascii="Arial" w:hAnsi="Arial" w:cs="Arial"/>
          <w:vertAlign w:val="subscript"/>
        </w:rPr>
        <w:t>0</w:t>
      </w:r>
      <w:r w:rsidRPr="00210425">
        <w:rPr>
          <w:rFonts w:ascii="Arial" w:hAnsi="Arial" w:cs="Arial"/>
        </w:rPr>
        <w:t xml:space="preserve">*d. The price of the call option at the time of expiration is calculated as </w:t>
      </w:r>
      <w:proofErr w:type="spellStart"/>
      <w:r w:rsidRPr="00210425">
        <w:rPr>
          <w:rFonts w:ascii="Arial" w:hAnsi="Arial" w:cs="Arial"/>
        </w:rPr>
        <w:t>f</w:t>
      </w:r>
      <w:r w:rsidRPr="00210425">
        <w:rPr>
          <w:rFonts w:ascii="Arial" w:hAnsi="Arial" w:cs="Arial"/>
          <w:vertAlign w:val="subscript"/>
        </w:rPr>
        <w:t>u</w:t>
      </w:r>
      <w:proofErr w:type="spellEnd"/>
      <w:r w:rsidRPr="00210425">
        <w:rPr>
          <w:rFonts w:ascii="Arial" w:hAnsi="Arial" w:cs="Arial"/>
        </w:rPr>
        <w:t>=S</w:t>
      </w:r>
      <w:r w:rsidRPr="00210425">
        <w:rPr>
          <w:rFonts w:ascii="Arial" w:hAnsi="Arial" w:cs="Arial"/>
          <w:vertAlign w:val="subscript"/>
        </w:rPr>
        <w:t>0</w:t>
      </w:r>
      <w:r w:rsidRPr="00210425">
        <w:rPr>
          <w:rFonts w:ascii="Arial" w:hAnsi="Arial" w:cs="Arial"/>
        </w:rPr>
        <w:t xml:space="preserve">-K if </w:t>
      </w:r>
      <w:proofErr w:type="spellStart"/>
      <w:r w:rsidRPr="00210425">
        <w:rPr>
          <w:rFonts w:ascii="Arial" w:hAnsi="Arial" w:cs="Arial"/>
        </w:rPr>
        <w:t>S</w:t>
      </w:r>
      <w:r w:rsidRPr="00210425">
        <w:rPr>
          <w:rFonts w:ascii="Arial" w:hAnsi="Arial" w:cs="Arial"/>
          <w:vertAlign w:val="subscript"/>
        </w:rPr>
        <w:t>u</w:t>
      </w:r>
      <w:proofErr w:type="spellEnd"/>
      <w:r w:rsidRPr="00210425">
        <w:rPr>
          <w:rFonts w:ascii="Arial" w:hAnsi="Arial" w:cs="Arial"/>
        </w:rPr>
        <w:t xml:space="preserve">&gt;K, or </w:t>
      </w:r>
      <w:proofErr w:type="spellStart"/>
      <w:r w:rsidRPr="00210425">
        <w:rPr>
          <w:rFonts w:ascii="Arial" w:hAnsi="Arial" w:cs="Arial"/>
        </w:rPr>
        <w:t>f</w:t>
      </w:r>
      <w:r w:rsidRPr="00210425">
        <w:rPr>
          <w:rFonts w:ascii="Arial" w:hAnsi="Arial" w:cs="Arial"/>
          <w:vertAlign w:val="subscript"/>
        </w:rPr>
        <w:t>u</w:t>
      </w:r>
      <w:proofErr w:type="spellEnd"/>
      <w:r w:rsidRPr="00210425">
        <w:rPr>
          <w:rFonts w:ascii="Arial" w:hAnsi="Arial" w:cs="Arial"/>
        </w:rPr>
        <w:t xml:space="preserve">=0 if </w:t>
      </w:r>
      <w:proofErr w:type="spellStart"/>
      <w:r w:rsidRPr="00210425">
        <w:rPr>
          <w:rFonts w:ascii="Arial" w:hAnsi="Arial" w:cs="Arial"/>
        </w:rPr>
        <w:t>S</w:t>
      </w:r>
      <w:r w:rsidRPr="00210425">
        <w:rPr>
          <w:rFonts w:ascii="Arial" w:hAnsi="Arial" w:cs="Arial"/>
          <w:vertAlign w:val="subscript"/>
        </w:rPr>
        <w:t>u</w:t>
      </w:r>
      <w:proofErr w:type="spellEnd"/>
      <w:r w:rsidRPr="00210425">
        <w:rPr>
          <w:rFonts w:ascii="Arial" w:hAnsi="Arial" w:cs="Arial"/>
        </w:rPr>
        <w:t xml:space="preserve">&lt;K, </w:t>
      </w:r>
      <w:proofErr w:type="spellStart"/>
      <w:r w:rsidRPr="00210425">
        <w:rPr>
          <w:rFonts w:ascii="Arial" w:hAnsi="Arial" w:cs="Arial"/>
        </w:rPr>
        <w:t>f</w:t>
      </w:r>
      <w:r w:rsidRPr="00210425">
        <w:rPr>
          <w:rFonts w:ascii="Arial" w:hAnsi="Arial" w:cs="Arial"/>
          <w:vertAlign w:val="subscript"/>
        </w:rPr>
        <w:t>d</w:t>
      </w:r>
      <w:proofErr w:type="spellEnd"/>
      <w:r w:rsidRPr="00210425">
        <w:rPr>
          <w:rFonts w:ascii="Arial" w:hAnsi="Arial" w:cs="Arial"/>
        </w:rPr>
        <w:t>=S</w:t>
      </w:r>
      <w:r w:rsidRPr="00210425">
        <w:rPr>
          <w:rFonts w:ascii="Arial" w:hAnsi="Arial" w:cs="Arial"/>
          <w:vertAlign w:val="subscript"/>
        </w:rPr>
        <w:t>d</w:t>
      </w:r>
      <w:r w:rsidRPr="00210425">
        <w:rPr>
          <w:rFonts w:ascii="Arial" w:hAnsi="Arial" w:cs="Arial"/>
        </w:rPr>
        <w:t>-K if S</w:t>
      </w:r>
      <w:r w:rsidRPr="00210425">
        <w:rPr>
          <w:rFonts w:ascii="Arial" w:hAnsi="Arial" w:cs="Arial"/>
          <w:vertAlign w:val="subscript"/>
        </w:rPr>
        <w:t>d</w:t>
      </w:r>
      <w:r w:rsidRPr="00210425">
        <w:rPr>
          <w:rFonts w:ascii="Arial" w:hAnsi="Arial" w:cs="Arial"/>
        </w:rPr>
        <w:t xml:space="preserve">&gt;K, or </w:t>
      </w:r>
      <w:proofErr w:type="spellStart"/>
      <w:r w:rsidRPr="00210425">
        <w:rPr>
          <w:rFonts w:ascii="Arial" w:hAnsi="Arial" w:cs="Arial"/>
        </w:rPr>
        <w:t>f</w:t>
      </w:r>
      <w:r w:rsidRPr="00210425">
        <w:rPr>
          <w:rFonts w:ascii="Arial" w:hAnsi="Arial" w:cs="Arial"/>
          <w:vertAlign w:val="subscript"/>
        </w:rPr>
        <w:t>d</w:t>
      </w:r>
      <w:proofErr w:type="spellEnd"/>
      <w:r w:rsidRPr="00210425">
        <w:rPr>
          <w:rFonts w:ascii="Arial" w:hAnsi="Arial" w:cs="Arial"/>
        </w:rPr>
        <w:t>=0 if S</w:t>
      </w:r>
      <w:r w:rsidRPr="00210425">
        <w:rPr>
          <w:rFonts w:ascii="Arial" w:hAnsi="Arial" w:cs="Arial"/>
          <w:vertAlign w:val="subscript"/>
        </w:rPr>
        <w:t>d</w:t>
      </w:r>
      <w:r w:rsidRPr="00210425">
        <w:rPr>
          <w:rFonts w:ascii="Arial" w:hAnsi="Arial" w:cs="Arial"/>
        </w:rPr>
        <w:t>&lt;K [22]. The letter K denotes the strike price of the option. The price of the financial option (f) is calculated with the probability of the underlying asset’s price rises (p) and option values at expiration</w:t>
      </w:r>
      <w:r w:rsidR="00C92B19">
        <w:rPr>
          <w:rFonts w:ascii="Arial" w:hAnsi="Arial" w:cs="Arial"/>
        </w:rPr>
        <w:t xml:space="preserve"> </w:t>
      </w:r>
      <w:r w:rsidR="00E52890" w:rsidRPr="00210425">
        <w:rPr>
          <w:rFonts w:ascii="Arial" w:hAnsi="Arial" w:cs="Arial"/>
        </w:rPr>
        <w:t>(</w:t>
      </w:r>
      <w:r w:rsidRPr="00210425">
        <w:rPr>
          <w:rFonts w:ascii="Arial" w:hAnsi="Arial" w:cs="Arial"/>
        </w:rPr>
        <w:t>1).</w:t>
      </w:r>
    </w:p>
    <w:p w:rsidR="00E52890" w:rsidRPr="00210425" w:rsidRDefault="00E52890" w:rsidP="006564D2">
      <w:pPr>
        <w:ind w:firstLine="720"/>
        <w:jc w:val="both"/>
        <w:rPr>
          <w:rFonts w:ascii="Arial" w:hAnsi="Arial" w:cs="Arial"/>
        </w:rPr>
      </w:pPr>
    </w:p>
    <w:p w:rsidR="006564D2" w:rsidRPr="00210425" w:rsidRDefault="006564D2" w:rsidP="006564D2">
      <w:pPr>
        <w:jc w:val="center"/>
        <w:rPr>
          <w:rFonts w:ascii="Arial" w:hAnsi="Arial" w:cs="Arial"/>
        </w:rPr>
      </w:pPr>
      <w:r w:rsidRPr="00210425">
        <w:rPr>
          <w:rFonts w:ascii="Arial" w:hAnsi="Arial" w:cs="Arial"/>
          <w:noProof/>
          <w:lang w:val="es-CO"/>
        </w:rPr>
        <w:drawing>
          <wp:inline distT="0" distB="0" distL="0" distR="0" wp14:anchorId="0F5CBE7F" wp14:editId="7404B88B">
            <wp:extent cx="1149390" cy="9404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179" cy="963146"/>
                    </a:xfrm>
                    <a:prstGeom prst="rect">
                      <a:avLst/>
                    </a:prstGeom>
                    <a:noFill/>
                  </pic:spPr>
                </pic:pic>
              </a:graphicData>
            </a:graphic>
          </wp:inline>
        </w:drawing>
      </w:r>
      <w:r w:rsidRPr="00210425">
        <w:rPr>
          <w:rFonts w:ascii="Arial" w:hAnsi="Arial" w:cs="Arial"/>
        </w:rPr>
        <w:t xml:space="preserve"> </w:t>
      </w:r>
    </w:p>
    <w:p w:rsidR="00E52890" w:rsidRPr="00210425" w:rsidRDefault="00E52890" w:rsidP="00E52890">
      <w:pPr>
        <w:ind w:firstLine="720"/>
        <w:jc w:val="both"/>
        <w:rPr>
          <w:rFonts w:ascii="Arial" w:hAnsi="Arial" w:cs="Arial"/>
        </w:rPr>
      </w:pPr>
      <w:r w:rsidRPr="00210425">
        <w:rPr>
          <w:rFonts w:ascii="Arial" w:hAnsi="Arial" w:cs="Arial"/>
        </w:rPr>
        <w:t>Figure 1. Single-step binomial tree for the underlying asset and the financial option</w:t>
      </w:r>
    </w:p>
    <w:p w:rsidR="006564D2" w:rsidRPr="00210425" w:rsidRDefault="006564D2" w:rsidP="006564D2">
      <w:pPr>
        <w:ind w:firstLine="720"/>
        <w:jc w:val="both"/>
        <w:rPr>
          <w:rFonts w:ascii="Arial" w:hAnsi="Arial" w:cs="Arial"/>
        </w:rPr>
      </w:pPr>
    </w:p>
    <w:p w:rsidR="006564D2" w:rsidRPr="00210425" w:rsidRDefault="006564D2" w:rsidP="006564D2">
      <w:pPr>
        <w:spacing w:line="480" w:lineRule="auto"/>
        <w:jc w:val="center"/>
        <w:rPr>
          <w:rFonts w:ascii="Arial" w:hAnsi="Arial" w:cs="Arial"/>
        </w:rPr>
      </w:pPr>
      <m:oMath>
        <m:r>
          <w:rPr>
            <w:rFonts w:ascii="Cambria Math" w:hAnsi="Cambria Math" w:cs="Arial"/>
          </w:rPr>
          <m:t>f</m:t>
        </m:r>
        <m:r>
          <m:rPr>
            <m:sty m:val="p"/>
          </m:rPr>
          <w:rPr>
            <w:rFonts w:ascii="Cambria Math" w:hAnsi="Cambria Math" w:cs="Arial"/>
          </w:rPr>
          <m:t>=</m:t>
        </m:r>
        <m:d>
          <m:dPr>
            <m:begChr m:val="["/>
            <m:endChr m:val="]"/>
            <m:ctrlPr>
              <w:rPr>
                <w:rFonts w:ascii="Cambria Math" w:hAnsi="Cambria Math" w:cs="Arial"/>
              </w:rPr>
            </m:ctrlPr>
          </m:dPr>
          <m:e>
            <m:r>
              <w:rPr>
                <w:rFonts w:ascii="Cambria Math" w:hAnsi="Cambria Math" w:cs="Arial"/>
              </w:rPr>
              <m:t>p</m:t>
            </m:r>
            <m:sSub>
              <m:sSubPr>
                <m:ctrlPr>
                  <w:rPr>
                    <w:rFonts w:ascii="Cambria Math" w:hAnsi="Cambria Math" w:cs="Arial"/>
                  </w:rPr>
                </m:ctrlPr>
              </m:sSubPr>
              <m:e>
                <m:r>
                  <w:rPr>
                    <w:rFonts w:ascii="Cambria Math" w:hAnsi="Cambria Math" w:cs="Arial"/>
                  </w:rPr>
                  <m:t>f</m:t>
                </m:r>
              </m:e>
              <m:sub>
                <m:r>
                  <w:rPr>
                    <w:rFonts w:ascii="Cambria Math" w:hAnsi="Cambria Math" w:cs="Arial"/>
                  </w:rPr>
                  <m:t>u</m:t>
                </m:r>
              </m:sub>
            </m:sSub>
            <m:r>
              <m:rPr>
                <m:sty m:val="p"/>
              </m:rPr>
              <w:rPr>
                <w:rFonts w:ascii="Cambria Math" w:hAnsi="Cambria Math" w:cs="Arial"/>
              </w:rPr>
              <m:t>+(1-</m:t>
            </m:r>
            <m:r>
              <w:rPr>
                <w:rFonts w:ascii="Cambria Math" w:hAnsi="Cambria Math" w:cs="Arial"/>
              </w:rPr>
              <m:t>p</m:t>
            </m:r>
            <m:r>
              <m:rPr>
                <m:sty m:val="p"/>
              </m:rP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d</m:t>
                </m:r>
              </m:sub>
            </m:sSub>
          </m:e>
        </m:d>
        <m:sSup>
          <m:sSupPr>
            <m:ctrlPr>
              <w:rPr>
                <w:rFonts w:ascii="Cambria Math" w:hAnsi="Cambria Math" w:cs="Arial"/>
              </w:rPr>
            </m:ctrlPr>
          </m:sSupPr>
          <m:e>
            <m:r>
              <w:rPr>
                <w:rFonts w:ascii="Cambria Math" w:hAnsi="Cambria Math" w:cs="Arial"/>
              </w:rPr>
              <m:t>e</m:t>
            </m:r>
          </m:e>
          <m:sup>
            <m:r>
              <m:rPr>
                <m:sty m:val="p"/>
              </m:rPr>
              <w:rPr>
                <w:rFonts w:ascii="Cambria Math" w:hAnsi="Cambria Math" w:cs="Arial"/>
              </w:rPr>
              <m:t>-</m:t>
            </m:r>
            <m:r>
              <w:rPr>
                <w:rFonts w:ascii="Cambria Math" w:hAnsi="Cambria Math" w:cs="Arial"/>
              </w:rPr>
              <m:t>rT</m:t>
            </m:r>
          </m:sup>
        </m:sSup>
        <m:r>
          <m:rPr>
            <m:sty m:val="p"/>
          </m:rPr>
          <w:rPr>
            <w:rFonts w:ascii="Cambria Math" w:hAnsi="Cambria Math" w:cs="Arial"/>
          </w:rPr>
          <m:t xml:space="preserve"> </m:t>
        </m:r>
      </m:oMath>
      <w:r w:rsidRPr="00210425">
        <w:rPr>
          <w:rFonts w:ascii="Arial" w:hAnsi="Arial" w:cs="Arial"/>
        </w:rPr>
        <w:tab/>
      </w:r>
      <w:r w:rsidRPr="00210425">
        <w:rPr>
          <w:rFonts w:ascii="Arial" w:hAnsi="Arial" w:cs="Arial"/>
        </w:rPr>
        <w:tab/>
        <w:t xml:space="preserve">   </w:t>
      </w:r>
      <w:r w:rsidRPr="00210425">
        <w:rPr>
          <w:rFonts w:ascii="Arial" w:hAnsi="Arial" w:cs="Arial"/>
        </w:rPr>
        <w:tab/>
      </w:r>
      <w:r w:rsidRPr="00210425">
        <w:rPr>
          <w:rFonts w:ascii="Arial" w:hAnsi="Arial" w:cs="Arial"/>
        </w:rPr>
        <w:tab/>
      </w:r>
      <w:r w:rsidRPr="00210425">
        <w:rPr>
          <w:rFonts w:ascii="Arial" w:hAnsi="Arial" w:cs="Arial"/>
        </w:rPr>
        <w:tab/>
      </w:r>
      <w:r w:rsidRPr="00210425">
        <w:rPr>
          <w:rFonts w:ascii="Arial" w:hAnsi="Arial" w:cs="Arial"/>
        </w:rPr>
        <w:tab/>
      </w:r>
      <w:r w:rsidRPr="00210425">
        <w:rPr>
          <w:rFonts w:ascii="Arial" w:hAnsi="Arial" w:cs="Arial"/>
        </w:rPr>
        <w:tab/>
        <w:t xml:space="preserve">                 (1)</w:t>
      </w:r>
    </w:p>
    <w:p w:rsidR="006564D2" w:rsidRPr="00210425" w:rsidRDefault="006564D2" w:rsidP="006564D2">
      <w:pPr>
        <w:ind w:firstLine="720"/>
        <w:jc w:val="both"/>
        <w:rPr>
          <w:rFonts w:ascii="Arial" w:hAnsi="Arial" w:cs="Arial"/>
        </w:rPr>
      </w:pPr>
      <w:r w:rsidRPr="00210425">
        <w:rPr>
          <w:rFonts w:ascii="Arial" w:hAnsi="Arial" w:cs="Arial"/>
        </w:rPr>
        <w:t xml:space="preserve">Where </w:t>
      </w:r>
      <m:oMath>
        <m:r>
          <w:rPr>
            <w:rFonts w:ascii="Cambria Math" w:hAnsi="Cambria Math" w:cs="Arial"/>
          </w:rPr>
          <m:t>p</m:t>
        </m:r>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e</m:t>
                </m:r>
              </m:e>
              <m:sup>
                <m:r>
                  <w:rPr>
                    <w:rFonts w:ascii="Cambria Math" w:hAnsi="Cambria Math" w:cs="Arial"/>
                  </w:rPr>
                  <m:t>rT</m:t>
                </m:r>
              </m:sup>
            </m:sSup>
            <m:r>
              <m:rPr>
                <m:sty m:val="p"/>
              </m:rPr>
              <w:rPr>
                <w:rFonts w:ascii="Cambria Math" w:hAnsi="Cambria Math" w:cs="Arial"/>
              </w:rPr>
              <m:t>-</m:t>
            </m:r>
            <m:r>
              <w:rPr>
                <w:rFonts w:ascii="Cambria Math" w:hAnsi="Cambria Math" w:cs="Arial"/>
              </w:rPr>
              <m:t>d</m:t>
            </m:r>
          </m:num>
          <m:den>
            <m:r>
              <w:rPr>
                <w:rFonts w:ascii="Cambria Math" w:hAnsi="Cambria Math" w:cs="Arial"/>
              </w:rPr>
              <m:t>u</m:t>
            </m:r>
            <m:r>
              <m:rPr>
                <m:sty m:val="p"/>
              </m:rPr>
              <w:rPr>
                <w:rFonts w:ascii="Cambria Math" w:hAnsi="Cambria Math" w:cs="Arial"/>
              </w:rPr>
              <m:t>-</m:t>
            </m:r>
            <m:r>
              <w:rPr>
                <w:rFonts w:ascii="Cambria Math" w:hAnsi="Cambria Math" w:cs="Arial"/>
              </w:rPr>
              <m:t>d</m:t>
            </m:r>
          </m:den>
        </m:f>
      </m:oMath>
      <w:r w:rsidRPr="00210425">
        <w:rPr>
          <w:rFonts w:ascii="Arial" w:hAnsi="Arial" w:cs="Arial"/>
        </w:rPr>
        <w:t xml:space="preserve">, </w:t>
      </w:r>
      <m:oMath>
        <m:r>
          <w:rPr>
            <w:rFonts w:ascii="Cambria Math" w:hAnsi="Cambria Math" w:cs="Arial"/>
          </w:rPr>
          <m:t>u</m:t>
        </m:r>
        <m:r>
          <m:rPr>
            <m:sty m:val="p"/>
          </m:rPr>
          <w:rPr>
            <w:rFonts w:ascii="Cambria Math" w:hAnsi="Cambria Math" w:cs="Arial"/>
          </w:rPr>
          <m:t>=</m:t>
        </m:r>
        <m:sSup>
          <m:sSupPr>
            <m:ctrlPr>
              <w:rPr>
                <w:rFonts w:ascii="Cambria Math" w:hAnsi="Cambria Math" w:cs="Arial"/>
              </w:rPr>
            </m:ctrlPr>
          </m:sSupPr>
          <m:e>
            <m:r>
              <w:rPr>
                <w:rFonts w:ascii="Cambria Math" w:hAnsi="Cambria Math" w:cs="Arial"/>
              </w:rPr>
              <m:t>e</m:t>
            </m:r>
          </m:e>
          <m:sup>
            <m:r>
              <w:rPr>
                <w:rFonts w:ascii="Cambria Math" w:hAnsi="Cambria Math" w:cs="Arial"/>
              </w:rPr>
              <m:t>σ</m:t>
            </m:r>
            <m:rad>
              <m:radPr>
                <m:degHide m:val="1"/>
                <m:ctrlPr>
                  <w:rPr>
                    <w:rFonts w:ascii="Cambria Math" w:hAnsi="Cambria Math" w:cs="Arial"/>
                  </w:rPr>
                </m:ctrlPr>
              </m:radPr>
              <m:deg/>
              <m:e>
                <m:r>
                  <w:rPr>
                    <w:rFonts w:ascii="Cambria Math" w:hAnsi="Cambria Math" w:cs="Arial"/>
                  </w:rPr>
                  <m:t>T</m:t>
                </m:r>
              </m:e>
            </m:rad>
          </m:sup>
        </m:sSup>
      </m:oMath>
      <w:r w:rsidRPr="00210425">
        <w:rPr>
          <w:rFonts w:ascii="Arial" w:hAnsi="Arial" w:cs="Arial"/>
        </w:rPr>
        <w:t xml:space="preserve">, </w:t>
      </w:r>
      <m:oMath>
        <m:r>
          <w:rPr>
            <w:rFonts w:ascii="Cambria Math" w:hAnsi="Cambria Math" w:cs="Arial"/>
          </w:rPr>
          <m:t>d</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w:rPr>
                <w:rFonts w:ascii="Cambria Math" w:hAnsi="Cambria Math" w:cs="Arial"/>
              </w:rPr>
              <m:t>u</m:t>
            </m:r>
          </m:den>
        </m:f>
      </m:oMath>
      <w:r w:rsidRPr="00210425">
        <w:rPr>
          <w:rFonts w:ascii="Arial" w:hAnsi="Arial" w:cs="Arial"/>
        </w:rPr>
        <w:t>, r is risk-free rate effective until the expiration of the financial option and σ is the volatility of the underlying asset.</w:t>
      </w:r>
    </w:p>
    <w:p w:rsidR="006564D2" w:rsidRPr="00210425" w:rsidRDefault="006564D2" w:rsidP="006564D2">
      <w:pPr>
        <w:ind w:firstLine="720"/>
        <w:jc w:val="both"/>
        <w:rPr>
          <w:rFonts w:ascii="Arial" w:hAnsi="Arial" w:cs="Arial"/>
        </w:rPr>
      </w:pPr>
      <w:r w:rsidRPr="00210425">
        <w:rPr>
          <w:rFonts w:ascii="Arial" w:hAnsi="Arial" w:cs="Arial"/>
        </w:rPr>
        <w:t xml:space="preserve">Investment projects can be considered with many time intervals, where each time interval is a step in the binomial tree. A binomial tree of N steps can be used as shown in </w:t>
      </w:r>
      <w:r w:rsidR="00C92B19" w:rsidRPr="00210425">
        <w:rPr>
          <w:rFonts w:ascii="Arial" w:hAnsi="Arial" w:cs="Arial"/>
        </w:rPr>
        <w:t xml:space="preserve">Figure </w:t>
      </w:r>
      <w:r w:rsidRPr="00210425">
        <w:rPr>
          <w:rFonts w:ascii="Arial" w:hAnsi="Arial" w:cs="Arial"/>
        </w:rPr>
        <w:t xml:space="preserve">2. The call option value on each </w:t>
      </w:r>
      <w:proofErr w:type="spellStart"/>
      <w:r w:rsidRPr="00210425">
        <w:rPr>
          <w:rFonts w:ascii="Arial" w:hAnsi="Arial" w:cs="Arial"/>
        </w:rPr>
        <w:t>f</w:t>
      </w:r>
      <w:r w:rsidRPr="00210425">
        <w:rPr>
          <w:rFonts w:ascii="Arial" w:hAnsi="Arial" w:cs="Arial"/>
          <w:vertAlign w:val="subscript"/>
        </w:rPr>
        <w:t>i,j</w:t>
      </w:r>
      <w:proofErr w:type="spellEnd"/>
      <w:r w:rsidRPr="00210425">
        <w:rPr>
          <w:rFonts w:ascii="Arial" w:hAnsi="Arial" w:cs="Arial"/>
          <w:vertAlign w:val="subscript"/>
        </w:rPr>
        <w:t xml:space="preserve"> </w:t>
      </w:r>
      <w:r w:rsidRPr="00210425">
        <w:rPr>
          <w:rFonts w:ascii="Arial" w:hAnsi="Arial" w:cs="Arial"/>
        </w:rPr>
        <w:t xml:space="preserve">node is calculated with </w:t>
      </w:r>
      <m:oMath>
        <m:sSub>
          <m:sSubPr>
            <m:ctrlPr>
              <w:rPr>
                <w:rFonts w:ascii="Cambria Math" w:eastAsia="Cambria Math" w:hAnsi="Cambria Math" w:cs="Arial"/>
              </w:rPr>
            </m:ctrlPr>
          </m:sSubPr>
          <m:e>
            <m:r>
              <w:rPr>
                <w:rFonts w:ascii="Cambria Math" w:eastAsia="Cambria Math" w:hAnsi="Cambria Math" w:cs="Arial"/>
              </w:rPr>
              <m:t>f</m:t>
            </m:r>
          </m:e>
          <m:sub>
            <m:r>
              <w:rPr>
                <w:rFonts w:ascii="Cambria Math" w:eastAsia="Cambria Math" w:hAnsi="Cambria Math" w:cs="Arial"/>
              </w:rPr>
              <m:t>ij</m:t>
            </m:r>
          </m:sub>
        </m:sSub>
        <m:r>
          <m:rPr>
            <m:sty m:val="p"/>
          </m:rPr>
          <w:rPr>
            <w:rFonts w:ascii="Cambria Math" w:eastAsia="Cambria Math" w:hAnsi="Cambria Math" w:cs="Arial"/>
          </w:rPr>
          <m:t>=</m:t>
        </m:r>
        <m:r>
          <w:rPr>
            <w:rFonts w:ascii="Cambria Math" w:eastAsia="Cambria Math" w:hAnsi="Cambria Math" w:cs="Arial"/>
          </w:rPr>
          <m:t>max</m:t>
        </m:r>
        <m:r>
          <m:rPr>
            <m:sty m:val="p"/>
          </m:rP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S</m:t>
            </m:r>
          </m:e>
          <m:sub>
            <m:r>
              <w:rPr>
                <w:rFonts w:ascii="Cambria Math" w:eastAsia="Cambria Math" w:hAnsi="Cambria Math" w:cs="Arial"/>
              </w:rPr>
              <m:t>ij</m:t>
            </m:r>
          </m:sub>
        </m:sSub>
        <m:r>
          <m:rPr>
            <m:sty m:val="p"/>
          </m:rPr>
          <w:rPr>
            <w:rFonts w:ascii="Cambria Math" w:eastAsia="Cambria Math" w:hAnsi="Cambria Math" w:cs="Arial"/>
          </w:rPr>
          <m:t>-</m:t>
        </m:r>
        <m:r>
          <w:rPr>
            <w:rFonts w:ascii="Cambria Math" w:eastAsia="Cambria Math" w:hAnsi="Cambria Math" w:cs="Arial"/>
          </w:rPr>
          <m:t>K</m:t>
        </m:r>
        <m:r>
          <m:rPr>
            <m:sty m:val="p"/>
          </m:rPr>
          <w:rPr>
            <w:rFonts w:ascii="Cambria Math" w:eastAsia="Cambria Math" w:hAnsi="Cambria Math" w:cs="Arial"/>
          </w:rPr>
          <m:t>,0)</m:t>
        </m:r>
      </m:oMath>
      <w:r w:rsidRPr="00210425">
        <w:rPr>
          <w:rFonts w:ascii="Arial" w:hAnsi="Arial" w:cs="Arial"/>
        </w:rPr>
        <w:t xml:space="preserve">, where </w:t>
      </w:r>
      <m:oMath>
        <m:sSub>
          <m:sSubPr>
            <m:ctrlPr>
              <w:rPr>
                <w:rFonts w:ascii="Cambria Math" w:eastAsia="Cambria Math" w:hAnsi="Cambria Math" w:cs="Arial"/>
              </w:rPr>
            </m:ctrlPr>
          </m:sSubPr>
          <m:e>
            <m:r>
              <w:rPr>
                <w:rFonts w:ascii="Cambria Math" w:eastAsia="Cambria Math" w:hAnsi="Cambria Math" w:cs="Arial"/>
              </w:rPr>
              <m:t>S</m:t>
            </m:r>
          </m:e>
          <m:sub>
            <m:r>
              <w:rPr>
                <w:rFonts w:ascii="Cambria Math" w:eastAsia="Cambria Math" w:hAnsi="Cambria Math" w:cs="Arial"/>
              </w:rPr>
              <m:t>ij</m:t>
            </m:r>
          </m:sub>
        </m:sSub>
      </m:oMath>
      <w:r w:rsidRPr="00210425">
        <w:rPr>
          <w:rFonts w:ascii="Arial" w:hAnsi="Arial" w:cs="Arial"/>
        </w:rPr>
        <w:t xml:space="preserve"> corresponds to the value of the underlying asset in the node (i,j), with i=1,2,…,n; j=1,2,…,i. Each time the fi, price is estimated, the option price in the previous node is calculated </w:t>
      </w:r>
      <w:r w:rsidR="00C92B19">
        <w:rPr>
          <w:rFonts w:ascii="Arial" w:hAnsi="Arial" w:cs="Arial"/>
        </w:rPr>
        <w:t>in</w:t>
      </w:r>
      <w:r w:rsidR="00210425" w:rsidRPr="00210425">
        <w:rPr>
          <w:rFonts w:ascii="Arial" w:hAnsi="Arial" w:cs="Arial"/>
        </w:rPr>
        <w:t xml:space="preserve"> </w:t>
      </w:r>
      <w:r w:rsidR="00210425">
        <w:rPr>
          <w:rFonts w:ascii="Arial" w:hAnsi="Arial" w:cs="Arial"/>
        </w:rPr>
        <w:t>(</w:t>
      </w:r>
      <w:r w:rsidRPr="00210425">
        <w:rPr>
          <w:rFonts w:ascii="Arial" w:hAnsi="Arial" w:cs="Arial"/>
        </w:rPr>
        <w:t>2</w:t>
      </w:r>
      <w:r w:rsidR="00210425">
        <w:rPr>
          <w:rFonts w:ascii="Arial" w:hAnsi="Arial" w:cs="Arial"/>
        </w:rPr>
        <w:t>)</w:t>
      </w:r>
      <w:r w:rsidRPr="00210425">
        <w:rPr>
          <w:rFonts w:ascii="Arial" w:hAnsi="Arial" w:cs="Arial"/>
        </w:rPr>
        <w:t xml:space="preserve"> [22].</w:t>
      </w:r>
    </w:p>
    <w:p w:rsidR="006564D2" w:rsidRPr="00210425" w:rsidRDefault="006564D2" w:rsidP="006564D2">
      <w:pPr>
        <w:jc w:val="center"/>
        <w:rPr>
          <w:rFonts w:ascii="Arial" w:hAnsi="Arial" w:cs="Arial"/>
          <w:b/>
        </w:rPr>
      </w:pPr>
      <w:r w:rsidRPr="00210425">
        <w:rPr>
          <w:rFonts w:ascii="Arial" w:eastAsiaTheme="minorEastAsia" w:hAnsi="Arial" w:cs="Arial"/>
          <w:noProof/>
          <w:lang w:val="es-CO"/>
        </w:rPr>
        <w:lastRenderedPageBreak/>
        <w:drawing>
          <wp:inline distT="0" distB="0" distL="0" distR="0" wp14:anchorId="7428A55A" wp14:editId="565C6D72">
            <wp:extent cx="2531778" cy="136242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4479" cy="1385401"/>
                    </a:xfrm>
                    <a:prstGeom prst="rect">
                      <a:avLst/>
                    </a:prstGeom>
                    <a:noFill/>
                  </pic:spPr>
                </pic:pic>
              </a:graphicData>
            </a:graphic>
          </wp:inline>
        </w:drawing>
      </w:r>
    </w:p>
    <w:p w:rsidR="006564D2" w:rsidRPr="00210425" w:rsidRDefault="006564D2" w:rsidP="006564D2">
      <w:pPr>
        <w:ind w:firstLine="720"/>
        <w:jc w:val="center"/>
        <w:rPr>
          <w:rFonts w:ascii="Arial" w:hAnsi="Arial" w:cs="Arial"/>
        </w:rPr>
      </w:pPr>
    </w:p>
    <w:p w:rsidR="006564D2" w:rsidRPr="00210425" w:rsidRDefault="006564D2" w:rsidP="006564D2">
      <w:pPr>
        <w:jc w:val="center"/>
        <w:rPr>
          <w:rFonts w:ascii="Arial" w:hAnsi="Arial" w:cs="Arial"/>
        </w:rPr>
      </w:pPr>
      <w:r w:rsidRPr="00210425">
        <w:rPr>
          <w:rFonts w:ascii="Arial" w:hAnsi="Arial" w:cs="Arial"/>
        </w:rPr>
        <w:t>Figure 2. N-step binomial tree of the underlying asset and the financial option.</w:t>
      </w:r>
    </w:p>
    <w:p w:rsidR="006564D2" w:rsidRPr="00210425" w:rsidRDefault="006564D2" w:rsidP="006564D2">
      <w:pPr>
        <w:ind w:firstLine="720"/>
        <w:jc w:val="both"/>
        <w:rPr>
          <w:rFonts w:ascii="Arial" w:hAnsi="Arial" w:cs="Arial"/>
        </w:rPr>
      </w:pPr>
    </w:p>
    <w:p w:rsidR="006564D2" w:rsidRPr="00210425" w:rsidRDefault="006564D2" w:rsidP="008C2A3F">
      <w:pPr>
        <w:ind w:firstLine="720"/>
        <w:jc w:val="both"/>
        <w:rPr>
          <w:rFonts w:ascii="Arial" w:hAnsi="Arial" w:cs="Arial"/>
          <w:lang w:val="id-ID"/>
        </w:rPr>
      </w:pPr>
    </w:p>
    <w:p w:rsidR="006564D2" w:rsidRPr="00210425" w:rsidRDefault="00BB186F" w:rsidP="006564D2">
      <w:pPr>
        <w:spacing w:line="480" w:lineRule="auto"/>
        <w:jc w:val="cente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i-1,j-1</m:t>
            </m:r>
          </m:sub>
        </m:sSub>
        <m:r>
          <w:rPr>
            <w:rFonts w:ascii="Cambria Math" w:eastAsiaTheme="minorEastAsia" w:hAnsi="Cambria Math" w:cs="Arial"/>
          </w:rPr>
          <m:t>=</m:t>
        </m:r>
        <m:d>
          <m:dPr>
            <m:begChr m:val="["/>
            <m:endChr m:val="]"/>
            <m:ctrlPr>
              <w:rPr>
                <w:rFonts w:ascii="Cambria Math" w:eastAsiaTheme="minorEastAsia" w:hAnsi="Cambria Math" w:cs="Arial"/>
                <w:i/>
              </w:rPr>
            </m:ctrlPr>
          </m:dPr>
          <m:e>
            <m:r>
              <w:rPr>
                <w:rFonts w:ascii="Cambria Math" w:eastAsiaTheme="minorEastAsia" w:hAnsi="Cambria Math" w:cs="Arial"/>
              </w:rPr>
              <m:t>p</m:t>
            </m:r>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i,j</m:t>
                </m:r>
              </m:sub>
            </m:sSub>
            <m:r>
              <w:rPr>
                <w:rFonts w:ascii="Cambria Math" w:eastAsiaTheme="minorEastAsia" w:hAnsi="Cambria Math" w:cs="Arial"/>
              </w:rPr>
              <m:t>+(1-p)</m:t>
            </m:r>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i,j-1</m:t>
                </m:r>
              </m:sub>
            </m:sSub>
          </m:e>
        </m:d>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-r∆T</m:t>
            </m:r>
          </m:sup>
        </m:sSup>
        <m:r>
          <w:rPr>
            <w:rFonts w:ascii="Cambria Math" w:eastAsiaTheme="minorEastAsia" w:hAnsi="Cambria Math" w:cs="Arial"/>
          </w:rPr>
          <m:t xml:space="preserve"> </m:t>
        </m:r>
      </m:oMath>
      <w:r w:rsidR="006564D2" w:rsidRPr="00210425">
        <w:rPr>
          <w:rFonts w:ascii="Arial" w:eastAsiaTheme="minorEastAsia" w:hAnsi="Arial" w:cs="Arial"/>
        </w:rPr>
        <w:t xml:space="preserve"> </w:t>
      </w:r>
      <w:r w:rsidR="006564D2" w:rsidRPr="00210425">
        <w:rPr>
          <w:rFonts w:ascii="Arial" w:eastAsiaTheme="minorEastAsia" w:hAnsi="Arial" w:cs="Arial"/>
        </w:rPr>
        <w:tab/>
      </w:r>
      <w:r w:rsidR="006564D2" w:rsidRPr="00210425">
        <w:rPr>
          <w:rFonts w:ascii="Arial" w:eastAsiaTheme="minorEastAsia" w:hAnsi="Arial" w:cs="Arial"/>
        </w:rPr>
        <w:tab/>
      </w:r>
      <w:r w:rsidR="006564D2" w:rsidRPr="00210425">
        <w:rPr>
          <w:rFonts w:ascii="Arial" w:eastAsiaTheme="minorEastAsia" w:hAnsi="Arial" w:cs="Arial"/>
        </w:rPr>
        <w:tab/>
      </w:r>
      <w:r w:rsidR="006564D2" w:rsidRPr="00210425">
        <w:rPr>
          <w:rFonts w:ascii="Arial" w:eastAsiaTheme="minorEastAsia" w:hAnsi="Arial" w:cs="Arial"/>
        </w:rPr>
        <w:tab/>
      </w:r>
      <w:r w:rsidR="006564D2" w:rsidRPr="00210425">
        <w:rPr>
          <w:rFonts w:ascii="Arial" w:eastAsiaTheme="minorEastAsia" w:hAnsi="Arial" w:cs="Arial"/>
        </w:rPr>
        <w:tab/>
      </w:r>
      <w:r w:rsidR="006564D2" w:rsidRPr="00210425">
        <w:rPr>
          <w:rFonts w:ascii="Arial" w:eastAsiaTheme="minorEastAsia" w:hAnsi="Arial" w:cs="Arial"/>
        </w:rPr>
        <w:tab/>
        <w:t>(2)</w:t>
      </w:r>
    </w:p>
    <w:p w:rsidR="006564D2" w:rsidRPr="00210425" w:rsidRDefault="006564D2" w:rsidP="006564D2">
      <w:pPr>
        <w:ind w:firstLine="720"/>
        <w:jc w:val="both"/>
        <w:rPr>
          <w:rFonts w:ascii="Arial" w:hAnsi="Arial" w:cs="Arial"/>
        </w:rPr>
      </w:pPr>
      <w:r w:rsidRPr="00210425">
        <w:rPr>
          <w:rFonts w:ascii="Arial" w:hAnsi="Arial" w:cs="Arial"/>
        </w:rPr>
        <w:t xml:space="preserve">Where </w:t>
      </w:r>
      <m:oMath>
        <m:r>
          <m:rPr>
            <m:sty m:val="p"/>
          </m:rPr>
          <w:rPr>
            <w:rFonts w:ascii="Cambria Math" w:hAnsi="Cambria Math" w:cs="Arial"/>
          </w:rPr>
          <m:t>∆</m:t>
        </m:r>
        <m:r>
          <w:rPr>
            <w:rFonts w:ascii="Cambria Math" w:hAnsi="Cambria Math" w:cs="Arial"/>
          </w:rPr>
          <m:t>T</m:t>
        </m:r>
        <m:r>
          <m:rPr>
            <m:sty m:val="p"/>
          </m:rPr>
          <w:rPr>
            <w:rFonts w:ascii="Cambria Math" w:hAnsi="Cambria Math" w:cs="Arial"/>
          </w:rPr>
          <m:t>=</m:t>
        </m:r>
        <m:f>
          <m:fPr>
            <m:ctrlPr>
              <w:rPr>
                <w:rFonts w:ascii="Cambria Math" w:hAnsi="Cambria Math" w:cs="Arial"/>
              </w:rPr>
            </m:ctrlPr>
          </m:fPr>
          <m:num>
            <m:r>
              <w:rPr>
                <w:rFonts w:ascii="Cambria Math" w:hAnsi="Cambria Math" w:cs="Arial"/>
              </w:rPr>
              <m:t>T</m:t>
            </m:r>
          </m:num>
          <m:den>
            <m:r>
              <w:rPr>
                <w:rFonts w:ascii="Cambria Math" w:hAnsi="Cambria Math" w:cs="Arial"/>
              </w:rPr>
              <m:t>n</m:t>
            </m:r>
          </m:den>
        </m:f>
      </m:oMath>
      <w:r w:rsidRPr="00210425">
        <w:rPr>
          <w:rFonts w:ascii="Arial" w:hAnsi="Arial" w:cs="Arial"/>
        </w:rPr>
        <w:t xml:space="preserve"> is the duration of time in each step.</w:t>
      </w:r>
    </w:p>
    <w:p w:rsidR="006564D2" w:rsidRPr="00210425" w:rsidRDefault="006564D2" w:rsidP="006564D2">
      <w:pPr>
        <w:ind w:firstLine="720"/>
        <w:jc w:val="both"/>
        <w:rPr>
          <w:rFonts w:ascii="Arial" w:hAnsi="Arial" w:cs="Arial"/>
        </w:rPr>
      </w:pPr>
      <w:r w:rsidRPr="00210425">
        <w:rPr>
          <w:rFonts w:ascii="Arial" w:hAnsi="Arial" w:cs="Arial"/>
        </w:rPr>
        <w:t>The binomial tree method for the deferral real option is used with the same procedure and only the variables for the real project are changed, where: S</w:t>
      </w:r>
      <w:r w:rsidRPr="004F478D">
        <w:rPr>
          <w:rFonts w:ascii="Arial" w:hAnsi="Arial" w:cs="Arial"/>
          <w:vertAlign w:val="subscript"/>
        </w:rPr>
        <w:t>0</w:t>
      </w:r>
      <w:r w:rsidRPr="00210425">
        <w:rPr>
          <w:rFonts w:ascii="Arial" w:hAnsi="Arial" w:cs="Arial"/>
        </w:rPr>
        <w:t xml:space="preserve"> is the present value of the project’s cash flow projection, K is the investment cost at the moment the decision to invest is made, σ is the volatility of cash flow present value, and r is the discount rate. A Monte Carlo simulation should be carried out with cash flow projection to estimate project volatility, where uncertain variables that can be modeled should be considered. In this case, the uncertain variable of the wind park is energy prices. Variable modeling is described below.</w:t>
      </w:r>
    </w:p>
    <w:p w:rsidR="006564D2" w:rsidRPr="00210425" w:rsidRDefault="006564D2" w:rsidP="006564D2">
      <w:pPr>
        <w:ind w:firstLine="720"/>
        <w:jc w:val="both"/>
        <w:rPr>
          <w:rFonts w:ascii="Arial" w:hAnsi="Arial" w:cs="Arial"/>
        </w:rPr>
      </w:pPr>
    </w:p>
    <w:p w:rsidR="006564D2" w:rsidRPr="00210425" w:rsidRDefault="006564D2" w:rsidP="006564D2">
      <w:pPr>
        <w:rPr>
          <w:rFonts w:ascii="Arial" w:hAnsi="Arial" w:cs="Arial"/>
          <w:b/>
        </w:rPr>
      </w:pPr>
      <w:r w:rsidRPr="00210425">
        <w:rPr>
          <w:rFonts w:ascii="Arial" w:hAnsi="Arial" w:cs="Arial"/>
          <w:b/>
        </w:rPr>
        <w:t>2.2 Colombia energy price modeling</w:t>
      </w:r>
    </w:p>
    <w:p w:rsidR="006564D2" w:rsidRPr="00210425" w:rsidRDefault="006564D2" w:rsidP="006564D2">
      <w:pPr>
        <w:ind w:firstLine="720"/>
        <w:jc w:val="both"/>
        <w:rPr>
          <w:rFonts w:ascii="Arial" w:hAnsi="Arial" w:cs="Arial"/>
        </w:rPr>
      </w:pPr>
      <w:r w:rsidRPr="00210425">
        <w:rPr>
          <w:rFonts w:ascii="Arial" w:hAnsi="Arial" w:cs="Arial"/>
        </w:rPr>
        <w:t xml:space="preserve">Energy prices in Colombia are characterized by mean reversion with peaks. The geographic location of Colombia makes the country’s climatic conditions affect power generation, because it regularly uses hydraulic sources. During </w:t>
      </w:r>
      <w:r w:rsidRPr="004F478D">
        <w:rPr>
          <w:rFonts w:ascii="Arial" w:hAnsi="Arial" w:cs="Arial"/>
          <w:i/>
          <w:iCs/>
        </w:rPr>
        <w:t>El Niño</w:t>
      </w:r>
      <w:r w:rsidRPr="00210425">
        <w:rPr>
          <w:rFonts w:ascii="Arial" w:hAnsi="Arial" w:cs="Arial"/>
        </w:rPr>
        <w:t>, a period characterized by drought and strong winds, the price of energy increases. Later, the price decreases and returns to more frequent ones. Figure 3 shows the behavior of energy prices in Colombia from 2008 to the first months of 2019.</w:t>
      </w:r>
    </w:p>
    <w:p w:rsidR="006564D2" w:rsidRPr="00210425" w:rsidRDefault="006564D2" w:rsidP="006564D2">
      <w:pPr>
        <w:ind w:firstLine="720"/>
        <w:jc w:val="both"/>
        <w:rPr>
          <w:rFonts w:ascii="Arial" w:hAnsi="Arial" w:cs="Arial"/>
        </w:rPr>
      </w:pPr>
    </w:p>
    <w:p w:rsidR="006564D2" w:rsidRPr="00210425" w:rsidRDefault="006564D2" w:rsidP="006564D2">
      <w:pPr>
        <w:ind w:firstLine="720"/>
        <w:jc w:val="center"/>
        <w:rPr>
          <w:rFonts w:ascii="Arial" w:hAnsi="Arial" w:cs="Arial"/>
        </w:rPr>
      </w:pPr>
      <w:r w:rsidRPr="00210425">
        <w:rPr>
          <w:rFonts w:ascii="Arial" w:hAnsi="Arial" w:cs="Arial"/>
          <w:noProof/>
          <w:lang w:val="es-CO"/>
        </w:rPr>
        <w:drawing>
          <wp:inline distT="0" distB="0" distL="0" distR="0" wp14:anchorId="346457E2" wp14:editId="088C3ECA">
            <wp:extent cx="2591849" cy="173992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22240" cy="1760324"/>
                    </a:xfrm>
                    <a:prstGeom prst="rect">
                      <a:avLst/>
                    </a:prstGeom>
                  </pic:spPr>
                </pic:pic>
              </a:graphicData>
            </a:graphic>
          </wp:inline>
        </w:drawing>
      </w:r>
    </w:p>
    <w:p w:rsidR="006564D2" w:rsidRPr="00210425" w:rsidRDefault="006564D2" w:rsidP="006564D2">
      <w:pPr>
        <w:jc w:val="center"/>
        <w:rPr>
          <w:rFonts w:ascii="Arial" w:hAnsi="Arial" w:cs="Arial"/>
        </w:rPr>
      </w:pPr>
      <w:r w:rsidRPr="00210425">
        <w:rPr>
          <w:rFonts w:ascii="Arial" w:hAnsi="Arial" w:cs="Arial"/>
        </w:rPr>
        <w:t>Figure 3. Energy price behavior.</w:t>
      </w:r>
    </w:p>
    <w:p w:rsidR="006564D2" w:rsidRPr="00210425" w:rsidRDefault="006564D2" w:rsidP="006564D2">
      <w:pPr>
        <w:jc w:val="center"/>
        <w:rPr>
          <w:rFonts w:ascii="Arial" w:hAnsi="Arial" w:cs="Arial"/>
        </w:rPr>
      </w:pPr>
    </w:p>
    <w:p w:rsidR="006564D2" w:rsidRPr="00210425" w:rsidRDefault="006564D2" w:rsidP="006564D2">
      <w:pPr>
        <w:ind w:firstLine="720"/>
        <w:jc w:val="both"/>
        <w:rPr>
          <w:rFonts w:ascii="Arial" w:hAnsi="Arial" w:cs="Arial"/>
        </w:rPr>
      </w:pPr>
      <w:r w:rsidRPr="00210425">
        <w:rPr>
          <w:rFonts w:ascii="Arial" w:hAnsi="Arial" w:cs="Arial"/>
        </w:rPr>
        <w:t xml:space="preserve">The process of mean reversion with peaks is shown in </w:t>
      </w:r>
      <w:r w:rsidR="003C2A43">
        <w:rPr>
          <w:rFonts w:ascii="Arial" w:hAnsi="Arial" w:cs="Arial"/>
        </w:rPr>
        <w:t>(</w:t>
      </w:r>
      <w:r w:rsidRPr="00210425">
        <w:rPr>
          <w:rFonts w:ascii="Arial" w:hAnsi="Arial" w:cs="Arial"/>
        </w:rPr>
        <w:t>3</w:t>
      </w:r>
      <w:r w:rsidR="003C2A43">
        <w:rPr>
          <w:rFonts w:ascii="Arial" w:hAnsi="Arial" w:cs="Arial"/>
        </w:rPr>
        <w:t>)</w:t>
      </w:r>
      <w:r w:rsidRPr="00210425">
        <w:rPr>
          <w:rFonts w:ascii="Arial" w:hAnsi="Arial" w:cs="Arial"/>
        </w:rPr>
        <w:t>.</w:t>
      </w:r>
    </w:p>
    <w:p w:rsidR="006564D2" w:rsidRPr="00210425" w:rsidRDefault="006564D2" w:rsidP="006564D2">
      <w:pPr>
        <w:spacing w:line="480" w:lineRule="auto"/>
        <w:jc w:val="center"/>
        <w:rPr>
          <w:rFonts w:ascii="Arial" w:hAnsi="Arial" w:cs="Arial"/>
        </w:rPr>
      </w:pPr>
      <m:oMath>
        <m:r>
          <w:rPr>
            <w:rFonts w:ascii="Cambria Math" w:hAnsi="Cambria Math" w:cs="Arial"/>
          </w:rPr>
          <m:t>dS=η</m:t>
        </m:r>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x</m:t>
                </m:r>
              </m:e>
            </m:acc>
            <m:r>
              <w:rPr>
                <w:rFonts w:ascii="Cambria Math" w:hAnsi="Cambria Math" w:cs="Arial"/>
              </w:rPr>
              <m:t>-x</m:t>
            </m:r>
          </m:e>
        </m:d>
        <m:r>
          <w:rPr>
            <w:rFonts w:ascii="Cambria Math" w:eastAsiaTheme="minorEastAsia" w:hAnsi="Cambria Math" w:cs="Arial"/>
          </w:rPr>
          <m:t>dt+σdz+dq</m:t>
        </m:r>
      </m:oMath>
      <w:r w:rsidRPr="00210425">
        <w:rPr>
          <w:rFonts w:ascii="Arial" w:eastAsiaTheme="minorEastAsia" w:hAnsi="Arial" w:cs="Arial"/>
        </w:rPr>
        <w:t xml:space="preserve"> </w:t>
      </w:r>
      <w:r w:rsidRPr="00210425">
        <w:rPr>
          <w:rFonts w:ascii="Arial" w:eastAsiaTheme="minorEastAsia" w:hAnsi="Arial" w:cs="Arial"/>
        </w:rPr>
        <w:tab/>
      </w:r>
      <w:r w:rsidRPr="00210425">
        <w:rPr>
          <w:rFonts w:ascii="Arial" w:eastAsiaTheme="minorEastAsia" w:hAnsi="Arial" w:cs="Arial"/>
        </w:rPr>
        <w:tab/>
      </w:r>
      <w:r w:rsidRPr="00210425">
        <w:rPr>
          <w:rFonts w:ascii="Arial" w:eastAsiaTheme="minorEastAsia" w:hAnsi="Arial" w:cs="Arial"/>
        </w:rPr>
        <w:tab/>
      </w:r>
      <w:r w:rsidRPr="00210425">
        <w:rPr>
          <w:rFonts w:ascii="Arial" w:eastAsiaTheme="minorEastAsia" w:hAnsi="Arial" w:cs="Arial"/>
        </w:rPr>
        <w:tab/>
      </w:r>
      <w:r w:rsidRPr="00210425">
        <w:rPr>
          <w:rFonts w:ascii="Arial" w:eastAsiaTheme="minorEastAsia" w:hAnsi="Arial" w:cs="Arial"/>
        </w:rPr>
        <w:tab/>
      </w:r>
      <w:r w:rsidRPr="00210425">
        <w:rPr>
          <w:rFonts w:ascii="Arial" w:eastAsiaTheme="minorEastAsia" w:hAnsi="Arial" w:cs="Arial"/>
        </w:rPr>
        <w:tab/>
      </w:r>
      <w:r w:rsidRPr="00210425">
        <w:rPr>
          <w:rFonts w:ascii="Arial" w:eastAsiaTheme="minorEastAsia" w:hAnsi="Arial" w:cs="Arial"/>
        </w:rPr>
        <w:tab/>
        <w:t xml:space="preserve">    (3)</w:t>
      </w:r>
    </w:p>
    <w:p w:rsidR="006564D2" w:rsidRPr="00210425" w:rsidRDefault="006564D2" w:rsidP="006564D2">
      <w:pPr>
        <w:ind w:firstLine="720"/>
        <w:jc w:val="both"/>
        <w:rPr>
          <w:rFonts w:ascii="Arial" w:hAnsi="Arial" w:cs="Arial"/>
        </w:rPr>
      </w:pPr>
      <w:r w:rsidRPr="00210425">
        <w:rPr>
          <w:rFonts w:ascii="Arial" w:hAnsi="Arial" w:cs="Arial"/>
        </w:rPr>
        <w:t xml:space="preserve">Where </w:t>
      </w:r>
      <m:oMath>
        <m:r>
          <w:rPr>
            <w:rFonts w:ascii="Cambria Math" w:hAnsi="Cambria Math" w:cs="Arial"/>
          </w:rPr>
          <m:t>η</m:t>
        </m:r>
      </m:oMath>
      <w:r w:rsidRPr="00210425">
        <w:rPr>
          <w:rFonts w:ascii="Arial" w:hAnsi="Arial" w:cs="Arial"/>
        </w:rPr>
        <w:t xml:space="preserve"> represents the rate of mean reversion of the asset, dt is the time interval, </w:t>
      </w:r>
      <m:oMath>
        <m:r>
          <w:rPr>
            <w:rFonts w:ascii="Cambria Math" w:hAnsi="Cambria Math" w:cs="Arial"/>
          </w:rPr>
          <m:t>σ</m:t>
        </m:r>
      </m:oMath>
      <w:r w:rsidRPr="00210425">
        <w:rPr>
          <w:rFonts w:ascii="Arial" w:hAnsi="Arial" w:cs="Arial"/>
        </w:rPr>
        <w:t xml:space="preserve"> is the asset’s expected volatility, dz is a Wiener process with normal distribution of zero mean and variance one, and dq is a Poisson term that has a value of zero most of the time, but often λ assumes a value that causes peak pricing. In this stochastic process, </w:t>
      </w:r>
      <w:proofErr w:type="spellStart"/>
      <w:r w:rsidRPr="00210425">
        <w:rPr>
          <w:rFonts w:ascii="Arial" w:hAnsi="Arial" w:cs="Arial"/>
        </w:rPr>
        <w:t>dz</w:t>
      </w:r>
      <w:proofErr w:type="spellEnd"/>
      <w:r w:rsidRPr="00210425">
        <w:rPr>
          <w:rFonts w:ascii="Arial" w:hAnsi="Arial" w:cs="Arial"/>
        </w:rPr>
        <w:t xml:space="preserve"> and </w:t>
      </w:r>
      <w:proofErr w:type="spellStart"/>
      <w:r w:rsidRPr="00210425">
        <w:rPr>
          <w:rFonts w:ascii="Arial" w:hAnsi="Arial" w:cs="Arial"/>
        </w:rPr>
        <w:t>dq</w:t>
      </w:r>
      <w:proofErr w:type="spellEnd"/>
      <w:r w:rsidRPr="00210425">
        <w:rPr>
          <w:rFonts w:ascii="Arial" w:hAnsi="Arial" w:cs="Arial"/>
        </w:rPr>
        <w:t xml:space="preserve"> are not correlated [23].</w:t>
      </w:r>
    </w:p>
    <w:p w:rsidR="006564D2" w:rsidRPr="00210425" w:rsidRDefault="006564D2" w:rsidP="006564D2">
      <w:pPr>
        <w:ind w:firstLine="720"/>
        <w:jc w:val="both"/>
        <w:rPr>
          <w:rFonts w:ascii="Arial" w:hAnsi="Arial" w:cs="Arial"/>
        </w:rPr>
      </w:pPr>
      <w:r w:rsidRPr="00210425">
        <w:rPr>
          <w:rFonts w:ascii="Arial" w:hAnsi="Arial" w:cs="Arial"/>
        </w:rPr>
        <w:t xml:space="preserve">Peak pricing occurs with a </w:t>
      </w:r>
      <w:proofErr w:type="spellStart"/>
      <w:r w:rsidRPr="00210425">
        <w:rPr>
          <w:rFonts w:ascii="Arial" w:hAnsi="Arial" w:cs="Arial"/>
        </w:rPr>
        <w:t>λ</w:t>
      </w:r>
      <w:r w:rsidRPr="00210425">
        <w:rPr>
          <w:rFonts w:ascii="Arial" w:hAnsi="Arial" w:cs="Arial"/>
          <w:vertAlign w:val="subscript"/>
        </w:rPr>
        <w:t>u</w:t>
      </w:r>
      <w:proofErr w:type="spellEnd"/>
      <w:r w:rsidRPr="00210425">
        <w:rPr>
          <w:rFonts w:ascii="Arial" w:hAnsi="Arial" w:cs="Arial"/>
        </w:rPr>
        <w:t xml:space="preserve"> frequency and troughs, with a </w:t>
      </w:r>
      <w:proofErr w:type="spellStart"/>
      <w:r w:rsidRPr="00210425">
        <w:rPr>
          <w:rFonts w:ascii="Arial" w:hAnsi="Arial" w:cs="Arial"/>
        </w:rPr>
        <w:t>λ</w:t>
      </w:r>
      <w:r w:rsidRPr="00210425">
        <w:rPr>
          <w:rFonts w:ascii="Arial" w:hAnsi="Arial" w:cs="Arial"/>
          <w:vertAlign w:val="subscript"/>
        </w:rPr>
        <w:t>d</w:t>
      </w:r>
      <w:proofErr w:type="spellEnd"/>
      <w:r w:rsidRPr="00210425">
        <w:rPr>
          <w:rFonts w:ascii="Arial" w:hAnsi="Arial" w:cs="Arial"/>
        </w:rPr>
        <w:t xml:space="preserve"> frequency. In this way, λ is equal to the sum of </w:t>
      </w:r>
      <w:proofErr w:type="spellStart"/>
      <w:r w:rsidRPr="00210425">
        <w:rPr>
          <w:rFonts w:ascii="Arial" w:hAnsi="Arial" w:cs="Arial"/>
        </w:rPr>
        <w:t>λ</w:t>
      </w:r>
      <w:r w:rsidRPr="00210425">
        <w:rPr>
          <w:rFonts w:ascii="Arial" w:hAnsi="Arial" w:cs="Arial"/>
          <w:vertAlign w:val="subscript"/>
        </w:rPr>
        <w:t>u</w:t>
      </w:r>
      <w:proofErr w:type="spellEnd"/>
      <w:r w:rsidRPr="00210425">
        <w:rPr>
          <w:rFonts w:ascii="Arial" w:hAnsi="Arial" w:cs="Arial"/>
        </w:rPr>
        <w:t xml:space="preserve"> and </w:t>
      </w:r>
      <w:proofErr w:type="spellStart"/>
      <w:r w:rsidRPr="00210425">
        <w:rPr>
          <w:rFonts w:ascii="Arial" w:hAnsi="Arial" w:cs="Arial"/>
        </w:rPr>
        <w:t>λ</w:t>
      </w:r>
      <w:r w:rsidRPr="00210425">
        <w:rPr>
          <w:rFonts w:ascii="Arial" w:hAnsi="Arial" w:cs="Arial"/>
          <w:vertAlign w:val="subscript"/>
        </w:rPr>
        <w:t>d</w:t>
      </w:r>
      <w:proofErr w:type="spellEnd"/>
      <w:r w:rsidRPr="00210425">
        <w:rPr>
          <w:rFonts w:ascii="Arial" w:hAnsi="Arial" w:cs="Arial"/>
        </w:rPr>
        <w:t xml:space="preserve">. Peak size and direction are random and the hope of the joint </w:t>
      </w:r>
      <w:r w:rsidRPr="00210425">
        <w:rPr>
          <w:rFonts w:ascii="Arial" w:hAnsi="Arial" w:cs="Arial"/>
        </w:rPr>
        <w:lastRenderedPageBreak/>
        <w:t xml:space="preserve">distribution φ of peaks and troughs is </w:t>
      </w:r>
      <m:oMath>
        <m:r>
          <w:rPr>
            <w:rFonts w:ascii="Cambria Math" w:eastAsia="Cambria Math" w:hAnsi="Cambria Math" w:cs="Arial"/>
          </w:rPr>
          <m:t>k</m:t>
        </m:r>
        <m:r>
          <m:rPr>
            <m:sty m:val="p"/>
          </m:rPr>
          <w:rPr>
            <w:rFonts w:ascii="Cambria Math" w:eastAsia="Cambria Math" w:hAnsi="Cambria Math" w:cs="Arial"/>
          </w:rPr>
          <m:t>=</m:t>
        </m:r>
        <m:r>
          <w:rPr>
            <w:rFonts w:ascii="Cambria Math" w:eastAsia="Cambria Math" w:hAnsi="Cambria Math" w:cs="Arial"/>
          </w:rPr>
          <m:t>E</m:t>
        </m:r>
        <m:d>
          <m:dPr>
            <m:begChr m:val="["/>
            <m:endChr m:val="]"/>
            <m:ctrlPr>
              <w:rPr>
                <w:rFonts w:ascii="Cambria Math" w:eastAsia="Cambria Math" w:hAnsi="Cambria Math" w:cs="Arial"/>
              </w:rPr>
            </m:ctrlPr>
          </m:dPr>
          <m:e>
            <m:r>
              <w:rPr>
                <w:rFonts w:ascii="Cambria Math" w:eastAsia="Cambria Math" w:hAnsi="Cambria Math" w:cs="Arial"/>
              </w:rPr>
              <m:t>φ</m:t>
            </m:r>
          </m:e>
        </m:d>
      </m:oMath>
      <w:r w:rsidRPr="00210425">
        <w:rPr>
          <w:rFonts w:ascii="Arial" w:hAnsi="Arial" w:cs="Arial"/>
        </w:rPr>
        <w:t xml:space="preserve">, where </w:t>
      </w:r>
      <w:proofErr w:type="spellStart"/>
      <w:r w:rsidRPr="00210425">
        <w:rPr>
          <w:rFonts w:ascii="Arial" w:hAnsi="Arial" w:cs="Arial"/>
        </w:rPr>
        <w:t>φ</w:t>
      </w:r>
      <w:r w:rsidRPr="00210425">
        <w:rPr>
          <w:rFonts w:ascii="Arial" w:hAnsi="Arial" w:cs="Arial"/>
          <w:vertAlign w:val="subscript"/>
        </w:rPr>
        <w:t>u</w:t>
      </w:r>
      <w:proofErr w:type="spellEnd"/>
      <w:r w:rsidRPr="00210425">
        <w:rPr>
          <w:rFonts w:ascii="Arial" w:hAnsi="Arial" w:cs="Arial"/>
        </w:rPr>
        <w:t xml:space="preserve"> is peak distribution and </w:t>
      </w:r>
      <w:proofErr w:type="spellStart"/>
      <w:r w:rsidRPr="00210425">
        <w:rPr>
          <w:rFonts w:ascii="Arial" w:hAnsi="Arial" w:cs="Arial"/>
        </w:rPr>
        <w:t>φ</w:t>
      </w:r>
      <w:r w:rsidRPr="00210425">
        <w:rPr>
          <w:rFonts w:ascii="Arial" w:hAnsi="Arial" w:cs="Arial"/>
          <w:vertAlign w:val="subscript"/>
        </w:rPr>
        <w:t>d</w:t>
      </w:r>
      <w:proofErr w:type="spellEnd"/>
      <w:r w:rsidRPr="00210425">
        <w:rPr>
          <w:rFonts w:ascii="Arial" w:hAnsi="Arial" w:cs="Arial"/>
        </w:rPr>
        <w:t xml:space="preserve">, </w:t>
      </w:r>
      <w:proofErr w:type="spellStart"/>
      <w:r w:rsidRPr="00210425">
        <w:rPr>
          <w:rFonts w:ascii="Arial" w:hAnsi="Arial" w:cs="Arial"/>
        </w:rPr>
        <w:t>trough</w:t>
      </w:r>
      <w:proofErr w:type="spellEnd"/>
      <w:r w:rsidRPr="00210425">
        <w:rPr>
          <w:rFonts w:ascii="Arial" w:hAnsi="Arial" w:cs="Arial"/>
        </w:rPr>
        <w:t xml:space="preserve"> distribution [23]</w:t>
      </w:r>
      <w:r w:rsidR="003C2A43">
        <w:rPr>
          <w:rFonts w:ascii="Arial" w:hAnsi="Arial" w:cs="Arial"/>
        </w:rPr>
        <w:t xml:space="preserve"> (4)</w:t>
      </w:r>
      <w:r w:rsidRPr="00210425">
        <w:rPr>
          <w:rFonts w:ascii="Arial" w:hAnsi="Arial" w:cs="Arial"/>
        </w:rPr>
        <w:t>.</w:t>
      </w:r>
    </w:p>
    <w:p w:rsidR="006564D2" w:rsidRPr="00210425" w:rsidRDefault="00BB186F" w:rsidP="006564D2">
      <w:pPr>
        <w:spacing w:line="480" w:lineRule="auto"/>
        <w:jc w:val="center"/>
        <w:rPr>
          <w:rFonts w:ascii="Arial" w:eastAsiaTheme="minorEastAsia" w:hAnsi="Arial"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r>
          <w:rPr>
            <w:rFonts w:ascii="Cambria Math" w:hAnsi="Cambria Math" w:cs="Arial"/>
          </w:rPr>
          <m:t>=</m:t>
        </m:r>
        <m:sSup>
          <m:sSupPr>
            <m:ctrlPr>
              <w:rPr>
                <w:rFonts w:ascii="Cambria Math" w:hAnsi="Cambria Math" w:cs="Arial"/>
                <w:i/>
              </w:rPr>
            </m:ctrlPr>
          </m:sSupPr>
          <m:e>
            <m:r>
              <w:rPr>
                <w:rFonts w:ascii="Cambria Math" w:hAnsi="Cambria Math" w:cs="Arial"/>
              </w:rPr>
              <m:t>e</m:t>
            </m:r>
          </m:e>
          <m:sup>
            <m:d>
              <m:dPr>
                <m:ctrlPr>
                  <w:rPr>
                    <w:rFonts w:ascii="Cambria Math" w:hAnsi="Cambria Math" w:cs="Arial"/>
                    <w:i/>
                  </w:rPr>
                </m:ctrlPr>
              </m:dPr>
              <m:e>
                <m:r>
                  <m:rPr>
                    <m:sty m:val="p"/>
                  </m:rPr>
                  <w:rPr>
                    <w:rFonts w:ascii="Cambria Math" w:hAnsi="Cambria Math" w:cs="Arial"/>
                  </w:rPr>
                  <m:t>log</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S</m:t>
                        </m:r>
                      </m:e>
                      <m:sub>
                        <m:r>
                          <w:rPr>
                            <w:rFonts w:ascii="Cambria Math" w:hAnsi="Cambria Math" w:cs="Arial"/>
                          </w:rPr>
                          <m:t>t-1</m:t>
                        </m:r>
                      </m:sub>
                    </m:sSub>
                  </m:e>
                </m:d>
                <m:sSup>
                  <m:sSupPr>
                    <m:ctrlPr>
                      <w:rPr>
                        <w:rFonts w:ascii="Cambria Math" w:hAnsi="Cambria Math" w:cs="Arial"/>
                        <w:i/>
                      </w:rPr>
                    </m:ctrlPr>
                  </m:sSupPr>
                  <m:e>
                    <m:r>
                      <w:rPr>
                        <w:rFonts w:ascii="Cambria Math" w:hAnsi="Cambria Math" w:cs="Arial"/>
                      </w:rPr>
                      <m:t>e</m:t>
                    </m:r>
                  </m:e>
                  <m:sup>
                    <m:r>
                      <w:rPr>
                        <w:rFonts w:ascii="Cambria Math" w:hAnsi="Cambria Math" w:cs="Arial"/>
                      </w:rPr>
                      <m:t>-η∆t</m:t>
                    </m:r>
                  </m:sup>
                </m:sSup>
                <m: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S</m:t>
                            </m:r>
                          </m:e>
                        </m:acc>
                        <m:r>
                          <w:rPr>
                            <w:rFonts w:ascii="Cambria Math" w:hAnsi="Cambria Math" w:cs="Arial"/>
                          </w:rPr>
                          <m:t>+λkη</m:t>
                        </m:r>
                      </m:e>
                    </m:d>
                  </m:e>
                </m:func>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-η∆t</m:t>
                        </m:r>
                      </m:sup>
                    </m:sSup>
                  </m:e>
                </m:d>
                <m:r>
                  <w:rPr>
                    <w:rFonts w:ascii="Cambria Math" w:hAnsi="Cambria Math" w:cs="Arial"/>
                  </w:rPr>
                  <m:t>+dq-</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-2η∆t</m:t>
                        </m:r>
                      </m:sup>
                    </m:sSup>
                  </m:e>
                </m:d>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λ</m:t>
                            </m:r>
                          </m:e>
                          <m:sub>
                            <m:r>
                              <w:rPr>
                                <w:rFonts w:ascii="Cambria Math" w:hAnsi="Cambria Math" w:cs="Arial"/>
                              </w:rPr>
                              <m:t>u</m:t>
                            </m:r>
                          </m:sub>
                        </m:sSub>
                        <m:r>
                          <w:rPr>
                            <w:rFonts w:ascii="Cambria Math" w:hAnsi="Cambria Math" w:cs="Arial"/>
                          </w:rPr>
                          <m:t>+</m:t>
                        </m:r>
                        <m:sSub>
                          <m:sSubPr>
                            <m:ctrlPr>
                              <w:rPr>
                                <w:rFonts w:ascii="Cambria Math" w:hAnsi="Cambria Math" w:cs="Arial"/>
                                <w:i/>
                              </w:rPr>
                            </m:ctrlPr>
                          </m:sSubPr>
                          <m:e>
                            <m:r>
                              <w:rPr>
                                <w:rFonts w:ascii="Cambria Math" w:hAnsi="Cambria Math" w:cs="Arial"/>
                              </w:rPr>
                              <m:t>λ</m:t>
                            </m:r>
                          </m:e>
                          <m:sub>
                            <m:r>
                              <w:rPr>
                                <w:rFonts w:ascii="Cambria Math" w:hAnsi="Cambria Math" w:cs="Arial"/>
                              </w:rPr>
                              <m:t>d</m:t>
                            </m:r>
                          </m:sub>
                        </m:sSub>
                      </m:e>
                    </m:d>
                    <m:r>
                      <w:rPr>
                        <w:rFonts w:ascii="Cambria Math" w:hAnsi="Cambria Math" w:cs="Arial"/>
                      </w:rPr>
                      <m:t>Var</m:t>
                    </m:r>
                    <m:d>
                      <m:dPr>
                        <m:ctrlPr>
                          <w:rPr>
                            <w:rFonts w:ascii="Cambria Math" w:hAnsi="Cambria Math" w:cs="Arial"/>
                            <w:i/>
                          </w:rPr>
                        </m:ctrlPr>
                      </m:dPr>
                      <m:e>
                        <m:r>
                          <m:rPr>
                            <m:sty m:val="p"/>
                          </m:rPr>
                          <w:rPr>
                            <w:rFonts w:ascii="Cambria Math" w:eastAsiaTheme="minorEastAsia" w:hAnsi="Cambria Math" w:cs="Arial"/>
                          </w:rPr>
                          <m:t>φ</m:t>
                        </m:r>
                        <m:ctrlPr>
                          <w:rPr>
                            <w:rFonts w:ascii="Cambria Math" w:eastAsiaTheme="minorEastAsia" w:hAnsi="Cambria Math" w:cs="Arial"/>
                          </w:rPr>
                        </m:ctrlPr>
                      </m:e>
                    </m:d>
                  </m:num>
                  <m:den>
                    <m:r>
                      <w:rPr>
                        <w:rFonts w:ascii="Cambria Math" w:hAnsi="Cambria Math" w:cs="Arial"/>
                      </w:rPr>
                      <m:t>4η</m:t>
                    </m:r>
                  </m:den>
                </m:f>
                <m:r>
                  <w:rPr>
                    <w:rFonts w:ascii="Cambria Math" w:hAnsi="Cambria Math" w:cs="Arial"/>
                  </w:rPr>
                  <m:t>+σ</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-2η∆t</m:t>
                            </m:r>
                          </m:sup>
                        </m:sSup>
                      </m:num>
                      <m:den>
                        <m:r>
                          <w:rPr>
                            <w:rFonts w:ascii="Cambria Math" w:hAnsi="Cambria Math" w:cs="Arial"/>
                          </w:rPr>
                          <m:t>2η</m:t>
                        </m:r>
                      </m:den>
                    </m:f>
                  </m:e>
                </m:rad>
                <m:r>
                  <w:rPr>
                    <w:rFonts w:ascii="Cambria Math" w:hAnsi="Cambria Math" w:cs="Arial"/>
                  </w:rPr>
                  <m:t>dz</m:t>
                </m:r>
              </m:e>
            </m:d>
          </m:sup>
        </m:sSup>
      </m:oMath>
      <w:r w:rsidR="006564D2" w:rsidRPr="00210425">
        <w:rPr>
          <w:rFonts w:ascii="Arial" w:eastAsiaTheme="minorEastAsia" w:hAnsi="Arial" w:cs="Arial"/>
        </w:rPr>
        <w:t xml:space="preserve"> (4)</w:t>
      </w:r>
    </w:p>
    <w:p w:rsidR="006564D2" w:rsidRDefault="006564D2" w:rsidP="006564D2">
      <w:pPr>
        <w:ind w:firstLine="720"/>
        <w:jc w:val="both"/>
        <w:rPr>
          <w:rFonts w:ascii="Arial" w:hAnsi="Arial" w:cs="Arial"/>
        </w:rPr>
      </w:pPr>
      <w:r w:rsidRPr="00210425">
        <w:rPr>
          <w:rFonts w:ascii="Arial" w:hAnsi="Arial" w:cs="Arial"/>
        </w:rPr>
        <w:t>Where S</w:t>
      </w:r>
      <w:r w:rsidRPr="00210425">
        <w:rPr>
          <w:rFonts w:ascii="Arial" w:hAnsi="Arial" w:cs="Arial"/>
          <w:vertAlign w:val="subscript"/>
        </w:rPr>
        <w:t>t</w:t>
      </w:r>
      <w:r w:rsidRPr="00210425">
        <w:rPr>
          <w:rFonts w:ascii="Arial" w:hAnsi="Arial" w:cs="Arial"/>
        </w:rPr>
        <w:t xml:space="preserve"> corresponds to the price modeled in the time interval t and </w:t>
      </w:r>
      <m:oMath>
        <m:acc>
          <m:accPr>
            <m:chr m:val="̅"/>
            <m:ctrlPr>
              <w:rPr>
                <w:rFonts w:ascii="Cambria Math" w:hAnsi="Cambria Math" w:cs="Arial"/>
                <w:i/>
              </w:rPr>
            </m:ctrlPr>
          </m:accPr>
          <m:e>
            <m:r>
              <w:rPr>
                <w:rFonts w:ascii="Cambria Math" w:hAnsi="Cambria Math" w:cs="Arial"/>
              </w:rPr>
              <m:t>S</m:t>
            </m:r>
          </m:e>
        </m:acc>
      </m:oMath>
      <w:r w:rsidRPr="00210425">
        <w:rPr>
          <w:rFonts w:ascii="Arial" w:hAnsi="Arial" w:cs="Arial"/>
        </w:rPr>
        <w:t xml:space="preserve"> represents the asset’s average expected value. Data in </w:t>
      </w:r>
      <w:r w:rsidR="00C92B19" w:rsidRPr="00210425">
        <w:rPr>
          <w:rFonts w:ascii="Arial" w:hAnsi="Arial" w:cs="Arial"/>
        </w:rPr>
        <w:t xml:space="preserve">Table </w:t>
      </w:r>
      <w:r w:rsidRPr="00210425">
        <w:rPr>
          <w:rFonts w:ascii="Arial" w:hAnsi="Arial" w:cs="Arial"/>
        </w:rPr>
        <w:t>2 on energy prices in Colombia serve to model the variable with a mean reversion process with peaks.</w:t>
      </w:r>
    </w:p>
    <w:p w:rsidR="00C92B19" w:rsidRPr="00210425" w:rsidRDefault="00C92B19" w:rsidP="006564D2">
      <w:pPr>
        <w:ind w:firstLine="720"/>
        <w:jc w:val="both"/>
        <w:rPr>
          <w:rFonts w:ascii="Arial" w:hAnsi="Arial" w:cs="Arial"/>
        </w:rPr>
      </w:pPr>
    </w:p>
    <w:p w:rsidR="006564D2" w:rsidRPr="00210425" w:rsidRDefault="00E52890" w:rsidP="006564D2">
      <w:pPr>
        <w:jc w:val="center"/>
        <w:rPr>
          <w:rFonts w:ascii="Arial" w:hAnsi="Arial" w:cs="Arial"/>
        </w:rPr>
      </w:pPr>
      <w:r w:rsidRPr="00210425">
        <w:rPr>
          <w:rFonts w:ascii="Arial" w:hAnsi="Arial" w:cs="Arial"/>
        </w:rPr>
        <w:t>Table 2. Energy price data to model mean reversal process with peaks</w:t>
      </w:r>
    </w:p>
    <w:tbl>
      <w:tblPr>
        <w:tblW w:w="2268" w:type="dxa"/>
        <w:jc w:val="center"/>
        <w:tblBorders>
          <w:bottom w:val="single" w:sz="4" w:space="0" w:color="000000"/>
        </w:tblBorders>
        <w:tblLayout w:type="fixed"/>
        <w:tblLook w:val="0000" w:firstRow="0" w:lastRow="0" w:firstColumn="0" w:lastColumn="0" w:noHBand="0" w:noVBand="0"/>
      </w:tblPr>
      <w:tblGrid>
        <w:gridCol w:w="1134"/>
        <w:gridCol w:w="1134"/>
      </w:tblGrid>
      <w:tr w:rsidR="006564D2" w:rsidRPr="00210425" w:rsidTr="006564D2">
        <w:trPr>
          <w:jc w:val="center"/>
        </w:trPr>
        <w:tc>
          <w:tcPr>
            <w:tcW w:w="1134" w:type="dxa"/>
            <w:tcBorders>
              <w:top w:val="single" w:sz="4" w:space="0" w:color="000000"/>
              <w:bottom w:val="single" w:sz="4" w:space="0" w:color="000000"/>
            </w:tcBorders>
          </w:tcPr>
          <w:sdt>
            <w:sdtPr>
              <w:rPr>
                <w:rFonts w:ascii="Arial" w:hAnsi="Arial" w:cs="Arial"/>
              </w:rPr>
              <w:tag w:val="goog_rdk_53"/>
              <w:id w:val="211313627"/>
            </w:sdtPr>
            <w:sdtEndPr/>
            <w:sdtContent>
              <w:p w:rsidR="006564D2" w:rsidRPr="00210425" w:rsidRDefault="006564D2" w:rsidP="006564D2">
                <w:pPr>
                  <w:jc w:val="center"/>
                  <w:rPr>
                    <w:rFonts w:ascii="Arial" w:hAnsi="Arial" w:cs="Arial"/>
                  </w:rPr>
                </w:pPr>
                <w:r w:rsidRPr="00210425">
                  <w:rPr>
                    <w:rFonts w:ascii="Arial" w:hAnsi="Arial" w:cs="Arial"/>
                  </w:rPr>
                  <w:t>Variable</w:t>
                </w:r>
              </w:p>
            </w:sdtContent>
          </w:sdt>
        </w:tc>
        <w:tc>
          <w:tcPr>
            <w:tcW w:w="1134" w:type="dxa"/>
            <w:tcBorders>
              <w:top w:val="single" w:sz="4" w:space="0" w:color="000000"/>
              <w:bottom w:val="single" w:sz="4" w:space="0" w:color="000000"/>
            </w:tcBorders>
          </w:tcPr>
          <w:sdt>
            <w:sdtPr>
              <w:rPr>
                <w:rFonts w:ascii="Arial" w:hAnsi="Arial" w:cs="Arial"/>
              </w:rPr>
              <w:tag w:val="goog_rdk_54"/>
              <w:id w:val="549113829"/>
            </w:sdtPr>
            <w:sdtEndPr/>
            <w:sdtContent>
              <w:p w:rsidR="006564D2" w:rsidRPr="00210425" w:rsidRDefault="006564D2" w:rsidP="006564D2">
                <w:pPr>
                  <w:jc w:val="center"/>
                  <w:rPr>
                    <w:rFonts w:ascii="Arial" w:hAnsi="Arial" w:cs="Arial"/>
                  </w:rPr>
                </w:pPr>
                <w:r w:rsidRPr="00210425">
                  <w:rPr>
                    <w:rFonts w:ascii="Arial" w:hAnsi="Arial" w:cs="Arial"/>
                  </w:rPr>
                  <w:t>Worth</w:t>
                </w:r>
              </w:p>
            </w:sdtContent>
          </w:sdt>
        </w:tc>
      </w:tr>
      <w:tr w:rsidR="006564D2" w:rsidRPr="00210425" w:rsidTr="006564D2">
        <w:trPr>
          <w:jc w:val="center"/>
        </w:trPr>
        <w:tc>
          <w:tcPr>
            <w:tcW w:w="1134" w:type="dxa"/>
            <w:tcBorders>
              <w:top w:val="single" w:sz="4" w:space="0" w:color="000000"/>
            </w:tcBorders>
          </w:tcPr>
          <w:p w:rsidR="006564D2" w:rsidRPr="00210425" w:rsidRDefault="006564D2" w:rsidP="006564D2">
            <w:pPr>
              <w:jc w:val="center"/>
              <w:rPr>
                <w:rFonts w:ascii="Arial" w:hAnsi="Arial" w:cs="Arial"/>
              </w:rPr>
            </w:pPr>
            <w:r w:rsidRPr="00210425">
              <w:rPr>
                <w:rFonts w:ascii="Arial" w:hAnsi="Arial" w:cs="Arial"/>
              </w:rPr>
              <w:t>S</w:t>
            </w:r>
            <w:r w:rsidRPr="00210425">
              <w:rPr>
                <w:rFonts w:ascii="Arial" w:hAnsi="Arial" w:cs="Arial"/>
                <w:vertAlign w:val="subscript"/>
              </w:rPr>
              <w:t>0</w:t>
            </w:r>
          </w:p>
        </w:tc>
        <w:tc>
          <w:tcPr>
            <w:tcW w:w="1134" w:type="dxa"/>
            <w:tcBorders>
              <w:top w:val="single" w:sz="4" w:space="0" w:color="000000"/>
            </w:tcBorders>
          </w:tcPr>
          <w:p w:rsidR="006564D2" w:rsidRPr="00210425" w:rsidRDefault="006564D2" w:rsidP="006564D2">
            <w:pPr>
              <w:jc w:val="center"/>
              <w:rPr>
                <w:rFonts w:ascii="Arial" w:hAnsi="Arial" w:cs="Arial"/>
              </w:rPr>
            </w:pPr>
            <w:r w:rsidRPr="00210425">
              <w:rPr>
                <w:rFonts w:ascii="Arial" w:hAnsi="Arial" w:cs="Arial"/>
              </w:rPr>
              <w:t>$309.06</w:t>
            </w:r>
          </w:p>
        </w:tc>
      </w:tr>
      <w:tr w:rsidR="006564D2" w:rsidRPr="00210425" w:rsidTr="006564D2">
        <w:trPr>
          <w:jc w:val="center"/>
        </w:trPr>
        <w:tc>
          <w:tcPr>
            <w:tcW w:w="1134" w:type="dxa"/>
          </w:tcPr>
          <w:p w:rsidR="006564D2" w:rsidRPr="00210425" w:rsidRDefault="00BB186F" w:rsidP="006564D2">
            <w:pPr>
              <w:jc w:val="center"/>
              <w:rPr>
                <w:rFonts w:ascii="Arial" w:hAnsi="Arial" w:cs="Arial"/>
              </w:rPr>
            </w:pPr>
            <m:oMathPara>
              <m:oMath>
                <m:acc>
                  <m:accPr>
                    <m:chr m:val="̅"/>
                    <m:ctrlPr>
                      <w:rPr>
                        <w:rFonts w:ascii="Cambria Math" w:eastAsiaTheme="minorEastAsia" w:hAnsi="Cambria Math" w:cs="Arial"/>
                        <w:i/>
                      </w:rPr>
                    </m:ctrlPr>
                  </m:accPr>
                  <m:e>
                    <m:r>
                      <w:rPr>
                        <w:rFonts w:ascii="Cambria Math" w:eastAsiaTheme="minorEastAsia" w:hAnsi="Cambria Math" w:cs="Arial"/>
                      </w:rPr>
                      <m:t>S</m:t>
                    </m:r>
                  </m:e>
                </m:acc>
              </m:oMath>
            </m:oMathPara>
          </w:p>
        </w:tc>
        <w:tc>
          <w:tcPr>
            <w:tcW w:w="1134" w:type="dxa"/>
          </w:tcPr>
          <w:p w:rsidR="006564D2" w:rsidRPr="00210425" w:rsidRDefault="006564D2" w:rsidP="006564D2">
            <w:pPr>
              <w:jc w:val="center"/>
              <w:rPr>
                <w:rFonts w:ascii="Arial" w:hAnsi="Arial" w:cs="Arial"/>
              </w:rPr>
            </w:pPr>
            <w:r w:rsidRPr="00210425">
              <w:rPr>
                <w:rFonts w:ascii="Arial" w:hAnsi="Arial" w:cs="Arial"/>
              </w:rPr>
              <w:t>$111.33</w:t>
            </w:r>
          </w:p>
        </w:tc>
      </w:tr>
      <w:tr w:rsidR="006564D2" w:rsidRPr="00210425" w:rsidTr="006564D2">
        <w:trPr>
          <w:jc w:val="center"/>
        </w:trPr>
        <w:tc>
          <w:tcPr>
            <w:tcW w:w="1134" w:type="dxa"/>
          </w:tcPr>
          <w:p w:rsidR="006564D2" w:rsidRPr="00210425" w:rsidRDefault="006564D2" w:rsidP="006564D2">
            <w:pPr>
              <w:jc w:val="center"/>
              <w:rPr>
                <w:rFonts w:ascii="Arial" w:hAnsi="Arial" w:cs="Arial"/>
              </w:rPr>
            </w:pPr>
            <w:r w:rsidRPr="00210425">
              <w:rPr>
                <w:rFonts w:ascii="Arial" w:hAnsi="Arial" w:cs="Arial"/>
              </w:rPr>
              <w:t>σ</w:t>
            </w:r>
          </w:p>
        </w:tc>
        <w:tc>
          <w:tcPr>
            <w:tcW w:w="1134" w:type="dxa"/>
          </w:tcPr>
          <w:p w:rsidR="006564D2" w:rsidRPr="00210425" w:rsidRDefault="006564D2" w:rsidP="006564D2">
            <w:pPr>
              <w:jc w:val="center"/>
              <w:rPr>
                <w:rFonts w:ascii="Arial" w:hAnsi="Arial" w:cs="Arial"/>
              </w:rPr>
            </w:pPr>
            <w:r w:rsidRPr="00210425">
              <w:rPr>
                <w:rFonts w:ascii="Arial" w:hAnsi="Arial" w:cs="Arial"/>
              </w:rPr>
              <w:t>12.04%</w:t>
            </w:r>
          </w:p>
        </w:tc>
      </w:tr>
      <w:tr w:rsidR="006564D2" w:rsidRPr="00210425" w:rsidTr="006564D2">
        <w:trPr>
          <w:jc w:val="center"/>
        </w:trPr>
        <w:tc>
          <w:tcPr>
            <w:tcW w:w="1134" w:type="dxa"/>
          </w:tcPr>
          <w:p w:rsidR="006564D2" w:rsidRPr="00210425" w:rsidRDefault="006564D2" w:rsidP="006564D2">
            <w:pPr>
              <w:jc w:val="center"/>
              <w:rPr>
                <w:rFonts w:ascii="Arial" w:hAnsi="Arial" w:cs="Arial"/>
              </w:rPr>
            </w:pPr>
            <w:proofErr w:type="spellStart"/>
            <w:r w:rsidRPr="00210425">
              <w:rPr>
                <w:rFonts w:ascii="Arial" w:hAnsi="Arial" w:cs="Arial"/>
              </w:rPr>
              <w:t>λ</w:t>
            </w:r>
            <w:r w:rsidRPr="00210425">
              <w:rPr>
                <w:rFonts w:ascii="Arial" w:hAnsi="Arial" w:cs="Arial"/>
                <w:vertAlign w:val="subscript"/>
              </w:rPr>
              <w:t>u</w:t>
            </w:r>
            <w:proofErr w:type="spellEnd"/>
          </w:p>
        </w:tc>
        <w:tc>
          <w:tcPr>
            <w:tcW w:w="1134" w:type="dxa"/>
          </w:tcPr>
          <w:p w:rsidR="006564D2" w:rsidRPr="00210425" w:rsidRDefault="006564D2" w:rsidP="006564D2">
            <w:pPr>
              <w:jc w:val="center"/>
              <w:rPr>
                <w:rFonts w:ascii="Arial" w:hAnsi="Arial" w:cs="Arial"/>
              </w:rPr>
            </w:pPr>
            <w:r w:rsidRPr="00210425">
              <w:rPr>
                <w:rFonts w:ascii="Arial" w:hAnsi="Arial" w:cs="Arial"/>
              </w:rPr>
              <w:t>0.00997</w:t>
            </w:r>
          </w:p>
        </w:tc>
      </w:tr>
      <w:tr w:rsidR="006564D2" w:rsidRPr="00210425" w:rsidTr="006564D2">
        <w:trPr>
          <w:jc w:val="center"/>
        </w:trPr>
        <w:tc>
          <w:tcPr>
            <w:tcW w:w="1134" w:type="dxa"/>
          </w:tcPr>
          <w:p w:rsidR="006564D2" w:rsidRPr="00210425" w:rsidRDefault="006564D2" w:rsidP="006564D2">
            <w:pPr>
              <w:jc w:val="center"/>
              <w:rPr>
                <w:rFonts w:ascii="Arial" w:hAnsi="Arial" w:cs="Arial"/>
              </w:rPr>
            </w:pPr>
            <w:proofErr w:type="spellStart"/>
            <w:r w:rsidRPr="00210425">
              <w:rPr>
                <w:rFonts w:ascii="Arial" w:hAnsi="Arial" w:cs="Arial"/>
              </w:rPr>
              <w:t>λ</w:t>
            </w:r>
            <w:r w:rsidRPr="00210425">
              <w:rPr>
                <w:rFonts w:ascii="Arial" w:hAnsi="Arial" w:cs="Arial"/>
                <w:vertAlign w:val="subscript"/>
              </w:rPr>
              <w:t>d</w:t>
            </w:r>
            <w:proofErr w:type="spellEnd"/>
          </w:p>
        </w:tc>
        <w:tc>
          <w:tcPr>
            <w:tcW w:w="1134" w:type="dxa"/>
          </w:tcPr>
          <w:p w:rsidR="006564D2" w:rsidRPr="00210425" w:rsidRDefault="006564D2" w:rsidP="006564D2">
            <w:pPr>
              <w:jc w:val="center"/>
              <w:rPr>
                <w:rFonts w:ascii="Arial" w:hAnsi="Arial" w:cs="Arial"/>
              </w:rPr>
            </w:pPr>
            <w:r w:rsidRPr="00210425">
              <w:rPr>
                <w:rFonts w:ascii="Arial" w:hAnsi="Arial" w:cs="Arial"/>
              </w:rPr>
              <w:t>0.00860</w:t>
            </w:r>
          </w:p>
        </w:tc>
      </w:tr>
      <w:tr w:rsidR="006564D2" w:rsidRPr="00210425" w:rsidTr="006564D2">
        <w:trPr>
          <w:jc w:val="center"/>
        </w:trPr>
        <w:tc>
          <w:tcPr>
            <w:tcW w:w="1134" w:type="dxa"/>
          </w:tcPr>
          <w:p w:rsidR="006564D2" w:rsidRPr="00210425" w:rsidRDefault="006564D2" w:rsidP="006564D2">
            <w:pPr>
              <w:jc w:val="center"/>
              <w:rPr>
                <w:rFonts w:ascii="Arial" w:hAnsi="Arial" w:cs="Arial"/>
              </w:rPr>
            </w:pPr>
            <m:oMathPara>
              <m:oMath>
                <m:r>
                  <w:rPr>
                    <w:rFonts w:ascii="Cambria Math" w:eastAsiaTheme="minorEastAsia" w:hAnsi="Cambria Math" w:cs="Arial"/>
                  </w:rPr>
                  <m:t>E</m:t>
                </m:r>
                <m:d>
                  <m:dPr>
                    <m:begChr m:val="["/>
                    <m:endChr m:val="]"/>
                    <m:ctrlPr>
                      <w:rPr>
                        <w:rFonts w:ascii="Cambria Math" w:eastAsiaTheme="minorEastAsia" w:hAnsi="Cambria Math" w:cs="Arial"/>
                        <w:i/>
                      </w:rPr>
                    </m:ctrlPr>
                  </m:dPr>
                  <m:e>
                    <m:sSub>
                      <m:sSubPr>
                        <m:ctrlPr>
                          <w:rPr>
                            <w:rFonts w:ascii="Cambria Math" w:eastAsiaTheme="minorEastAsia" w:hAnsi="Cambria Math" w:cs="Arial"/>
                          </w:rPr>
                        </m:ctrlPr>
                      </m:sSubPr>
                      <m:e>
                        <m:r>
                          <m:rPr>
                            <m:sty m:val="p"/>
                          </m:rPr>
                          <w:rPr>
                            <w:rFonts w:ascii="Cambria Math" w:eastAsiaTheme="minorEastAsia" w:hAnsi="Cambria Math" w:cs="Arial"/>
                          </w:rPr>
                          <m:t>φ</m:t>
                        </m:r>
                      </m:e>
                      <m:sub>
                        <m:r>
                          <w:rPr>
                            <w:rFonts w:ascii="Cambria Math" w:eastAsiaTheme="minorEastAsia" w:hAnsi="Cambria Math" w:cs="Arial"/>
                          </w:rPr>
                          <m:t>u</m:t>
                        </m:r>
                      </m:sub>
                    </m:sSub>
                  </m:e>
                </m:d>
              </m:oMath>
            </m:oMathPara>
          </w:p>
        </w:tc>
        <w:tc>
          <w:tcPr>
            <w:tcW w:w="1134" w:type="dxa"/>
          </w:tcPr>
          <w:p w:rsidR="006564D2" w:rsidRPr="00210425" w:rsidRDefault="006564D2" w:rsidP="006564D2">
            <w:pPr>
              <w:jc w:val="center"/>
              <w:rPr>
                <w:rFonts w:ascii="Arial" w:hAnsi="Arial" w:cs="Arial"/>
              </w:rPr>
            </w:pPr>
            <w:r w:rsidRPr="00210425">
              <w:rPr>
                <w:rFonts w:ascii="Arial" w:hAnsi="Arial" w:cs="Arial"/>
              </w:rPr>
              <w:t>0.10287</w:t>
            </w:r>
          </w:p>
        </w:tc>
      </w:tr>
      <w:tr w:rsidR="006564D2" w:rsidRPr="00210425" w:rsidTr="006564D2">
        <w:trPr>
          <w:jc w:val="center"/>
        </w:trPr>
        <w:tc>
          <w:tcPr>
            <w:tcW w:w="1134" w:type="dxa"/>
          </w:tcPr>
          <w:p w:rsidR="006564D2" w:rsidRPr="00210425" w:rsidRDefault="006564D2" w:rsidP="006564D2">
            <w:pPr>
              <w:jc w:val="center"/>
              <w:rPr>
                <w:rFonts w:ascii="Arial" w:hAnsi="Arial" w:cs="Arial"/>
              </w:rPr>
            </w:pPr>
            <m:oMathPara>
              <m:oMath>
                <m:r>
                  <w:rPr>
                    <w:rFonts w:ascii="Cambria Math" w:eastAsiaTheme="minorEastAsia" w:hAnsi="Cambria Math" w:cs="Arial"/>
                  </w:rPr>
                  <m:t>E</m:t>
                </m:r>
                <m:d>
                  <m:dPr>
                    <m:begChr m:val="["/>
                    <m:endChr m:val="]"/>
                    <m:ctrlPr>
                      <w:rPr>
                        <w:rFonts w:ascii="Cambria Math" w:eastAsiaTheme="minorEastAsia" w:hAnsi="Cambria Math" w:cs="Arial"/>
                        <w:i/>
                      </w:rPr>
                    </m:ctrlPr>
                  </m:dPr>
                  <m:e>
                    <m:sSub>
                      <m:sSubPr>
                        <m:ctrlPr>
                          <w:rPr>
                            <w:rFonts w:ascii="Cambria Math" w:eastAsiaTheme="minorEastAsia" w:hAnsi="Cambria Math" w:cs="Arial"/>
                          </w:rPr>
                        </m:ctrlPr>
                      </m:sSubPr>
                      <m:e>
                        <m:r>
                          <m:rPr>
                            <m:sty m:val="p"/>
                          </m:rPr>
                          <w:rPr>
                            <w:rFonts w:ascii="Cambria Math" w:eastAsiaTheme="minorEastAsia" w:hAnsi="Cambria Math" w:cs="Arial"/>
                          </w:rPr>
                          <m:t>φ</m:t>
                        </m:r>
                      </m:e>
                      <m:sub>
                        <m:r>
                          <w:rPr>
                            <w:rFonts w:ascii="Cambria Math" w:eastAsiaTheme="minorEastAsia" w:hAnsi="Cambria Math" w:cs="Arial"/>
                          </w:rPr>
                          <m:t>d</m:t>
                        </m:r>
                      </m:sub>
                    </m:sSub>
                  </m:e>
                </m:d>
              </m:oMath>
            </m:oMathPara>
          </w:p>
        </w:tc>
        <w:tc>
          <w:tcPr>
            <w:tcW w:w="1134" w:type="dxa"/>
          </w:tcPr>
          <w:p w:rsidR="006564D2" w:rsidRPr="00210425" w:rsidRDefault="006564D2" w:rsidP="006564D2">
            <w:pPr>
              <w:jc w:val="center"/>
              <w:rPr>
                <w:rFonts w:ascii="Arial" w:hAnsi="Arial" w:cs="Arial"/>
              </w:rPr>
            </w:pPr>
            <w:r w:rsidRPr="00210425">
              <w:rPr>
                <w:rFonts w:ascii="Arial" w:hAnsi="Arial" w:cs="Arial"/>
              </w:rPr>
              <w:t>-0.10371</w:t>
            </w:r>
          </w:p>
        </w:tc>
      </w:tr>
      <w:tr w:rsidR="006564D2" w:rsidRPr="00210425" w:rsidTr="006564D2">
        <w:trPr>
          <w:jc w:val="center"/>
        </w:trPr>
        <w:tc>
          <w:tcPr>
            <w:tcW w:w="1134" w:type="dxa"/>
          </w:tcPr>
          <w:p w:rsidR="006564D2" w:rsidRPr="00210425" w:rsidRDefault="006564D2" w:rsidP="006564D2">
            <w:pPr>
              <w:jc w:val="center"/>
              <w:rPr>
                <w:rFonts w:ascii="Arial" w:eastAsia="Calibri" w:hAnsi="Arial" w:cs="Arial"/>
              </w:rPr>
            </w:pPr>
            <w:r w:rsidRPr="00210425">
              <w:rPr>
                <w:rFonts w:ascii="Arial" w:eastAsia="Calibri" w:hAnsi="Arial" w:cs="Arial"/>
              </w:rPr>
              <w:t>Var</w:t>
            </w:r>
            <m:oMath>
              <m:d>
                <m:dPr>
                  <m:begChr m:val="["/>
                  <m:endChr m:val="]"/>
                  <m:ctrlPr>
                    <w:rPr>
                      <w:rFonts w:ascii="Cambria Math" w:eastAsiaTheme="minorEastAsia" w:hAnsi="Cambria Math" w:cs="Arial"/>
                      <w:i/>
                    </w:rPr>
                  </m:ctrlPr>
                </m:dPr>
                <m:e>
                  <m:r>
                    <m:rPr>
                      <m:sty m:val="p"/>
                    </m:rPr>
                    <w:rPr>
                      <w:rFonts w:ascii="Cambria Math" w:eastAsiaTheme="minorEastAsia" w:hAnsi="Cambria Math" w:cs="Arial"/>
                    </w:rPr>
                    <m:t>φ</m:t>
                  </m:r>
                </m:e>
              </m:d>
            </m:oMath>
          </w:p>
        </w:tc>
        <w:tc>
          <w:tcPr>
            <w:tcW w:w="1134" w:type="dxa"/>
          </w:tcPr>
          <w:p w:rsidR="006564D2" w:rsidRPr="00210425" w:rsidRDefault="006564D2" w:rsidP="006564D2">
            <w:pPr>
              <w:jc w:val="center"/>
              <w:rPr>
                <w:rFonts w:ascii="Arial" w:hAnsi="Arial" w:cs="Arial"/>
              </w:rPr>
            </w:pPr>
            <w:r w:rsidRPr="00210425">
              <w:rPr>
                <w:rFonts w:ascii="Arial" w:hAnsi="Arial" w:cs="Arial"/>
              </w:rPr>
              <w:t>2.134%</w:t>
            </w:r>
          </w:p>
        </w:tc>
      </w:tr>
      <w:tr w:rsidR="006564D2" w:rsidRPr="00210425" w:rsidTr="006564D2">
        <w:trPr>
          <w:jc w:val="center"/>
        </w:trPr>
        <w:tc>
          <w:tcPr>
            <w:tcW w:w="1134" w:type="dxa"/>
            <w:tcBorders>
              <w:bottom w:val="single" w:sz="4" w:space="0" w:color="000000"/>
            </w:tcBorders>
          </w:tcPr>
          <w:p w:rsidR="006564D2" w:rsidRPr="00210425" w:rsidRDefault="006564D2" w:rsidP="006564D2">
            <w:pPr>
              <w:jc w:val="center"/>
              <w:rPr>
                <w:rFonts w:ascii="Arial" w:eastAsia="Calibri" w:hAnsi="Arial" w:cs="Arial"/>
              </w:rPr>
            </w:pPr>
            <w:r w:rsidRPr="00210425">
              <w:rPr>
                <w:rFonts w:ascii="Arial" w:eastAsia="Calibri" w:hAnsi="Arial" w:cs="Arial"/>
              </w:rPr>
              <w:t>dt</w:t>
            </w:r>
          </w:p>
        </w:tc>
        <w:tc>
          <w:tcPr>
            <w:tcW w:w="1134" w:type="dxa"/>
            <w:tcBorders>
              <w:bottom w:val="single" w:sz="4" w:space="0" w:color="000000"/>
            </w:tcBorders>
          </w:tcPr>
          <w:p w:rsidR="006564D2" w:rsidRPr="00210425" w:rsidRDefault="006564D2" w:rsidP="006564D2">
            <w:pPr>
              <w:jc w:val="center"/>
              <w:rPr>
                <w:rFonts w:ascii="Arial" w:hAnsi="Arial" w:cs="Arial"/>
              </w:rPr>
            </w:pPr>
            <w:r w:rsidRPr="00210425">
              <w:rPr>
                <w:rFonts w:ascii="Arial" w:hAnsi="Arial" w:cs="Arial"/>
              </w:rPr>
              <w:t>365</w:t>
            </w:r>
          </w:p>
        </w:tc>
      </w:tr>
    </w:tbl>
    <w:p w:rsidR="004F478D" w:rsidRDefault="004F478D" w:rsidP="00210425">
      <w:pPr>
        <w:rPr>
          <w:rFonts w:ascii="Arial" w:hAnsi="Arial" w:cs="Arial"/>
          <w:b/>
        </w:rPr>
      </w:pPr>
    </w:p>
    <w:p w:rsidR="00210425" w:rsidRPr="00210425" w:rsidRDefault="00210425" w:rsidP="00210425">
      <w:pPr>
        <w:ind w:firstLine="720"/>
        <w:jc w:val="both"/>
        <w:rPr>
          <w:rFonts w:ascii="Arial" w:hAnsi="Arial" w:cs="Arial"/>
        </w:rPr>
      </w:pPr>
      <w:r w:rsidRPr="00210425">
        <w:rPr>
          <w:rFonts w:ascii="Arial" w:hAnsi="Arial" w:cs="Arial"/>
        </w:rPr>
        <w:t>Figure 4 shows an example of the Monte Carlo simulation with 20 scenarios per unit of time of a mean reversion process with peaks on energy prices. The gray horizontal line corresponds to the last known real price, and the black horizontal line corresponds to the mean reversal value. Price trajectories tend to fall; given the mean reversal value is lower than the last known price, as well as there up and down trends. This behavior is similar to that of energy prices in Colombia (Figure 3).</w:t>
      </w:r>
    </w:p>
    <w:p w:rsidR="00210425" w:rsidRPr="00210425" w:rsidRDefault="00210425" w:rsidP="00210425">
      <w:pPr>
        <w:ind w:firstLine="720"/>
        <w:jc w:val="center"/>
        <w:rPr>
          <w:rFonts w:ascii="Arial" w:hAnsi="Arial" w:cs="Arial"/>
        </w:rPr>
      </w:pPr>
      <w:r w:rsidRPr="00210425">
        <w:rPr>
          <w:rFonts w:ascii="Arial" w:hAnsi="Arial" w:cs="Arial"/>
          <w:noProof/>
          <w:lang w:val="es-CO"/>
        </w:rPr>
        <w:drawing>
          <wp:inline distT="0" distB="0" distL="0" distR="0" wp14:anchorId="55CBD549" wp14:editId="07C23D1F">
            <wp:extent cx="2855090" cy="1996754"/>
            <wp:effectExtent l="0" t="0" r="2540" b="3810"/>
            <wp:docPr id="15" name="Imagen 15" descr="C:\Users\luisjimenez\Dropbox\ITM\PROYECTO\OPCIONES REALES\ARTÍCULOS NUEVOS\Modelación precio energía\Energía - 20 trazas con precio 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jimenez\Dropbox\ITM\PROYECTO\OPCIONES REALES\ARTÍCULOS NUEVOS\Modelación precio energía\Energía - 20 trazas con precio medi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2284" cy="2008779"/>
                    </a:xfrm>
                    <a:prstGeom prst="rect">
                      <a:avLst/>
                    </a:prstGeom>
                    <a:noFill/>
                    <a:ln>
                      <a:noFill/>
                    </a:ln>
                  </pic:spPr>
                </pic:pic>
              </a:graphicData>
            </a:graphic>
          </wp:inline>
        </w:drawing>
      </w:r>
    </w:p>
    <w:p w:rsidR="00210425" w:rsidRPr="00210425" w:rsidRDefault="00210425" w:rsidP="00210425">
      <w:pPr>
        <w:jc w:val="center"/>
        <w:rPr>
          <w:rFonts w:ascii="Arial" w:hAnsi="Arial" w:cs="Arial"/>
        </w:rPr>
      </w:pPr>
      <w:r w:rsidRPr="00210425">
        <w:rPr>
          <w:rFonts w:ascii="Arial" w:hAnsi="Arial" w:cs="Arial"/>
        </w:rPr>
        <w:t>Figure 4. Mean reversion process with peaks in energy price.</w:t>
      </w:r>
    </w:p>
    <w:p w:rsidR="00210425" w:rsidRPr="00210425" w:rsidRDefault="00210425" w:rsidP="00210425">
      <w:pPr>
        <w:ind w:firstLine="720"/>
        <w:jc w:val="center"/>
        <w:rPr>
          <w:rFonts w:ascii="Arial" w:hAnsi="Arial" w:cs="Arial"/>
        </w:rPr>
      </w:pPr>
    </w:p>
    <w:p w:rsidR="00210425" w:rsidRPr="00210425" w:rsidRDefault="00210425" w:rsidP="00210425">
      <w:pPr>
        <w:rPr>
          <w:rFonts w:ascii="Arial" w:hAnsi="Arial" w:cs="Arial"/>
          <w:b/>
        </w:rPr>
      </w:pPr>
      <w:r w:rsidRPr="00210425">
        <w:rPr>
          <w:rFonts w:ascii="Arial" w:hAnsi="Arial" w:cs="Arial"/>
          <w:b/>
        </w:rPr>
        <w:t>2.3 Wind park cash flow</w:t>
      </w:r>
    </w:p>
    <w:p w:rsidR="00210425" w:rsidRPr="00210425" w:rsidRDefault="00210425" w:rsidP="00210425">
      <w:pPr>
        <w:ind w:firstLine="720"/>
        <w:jc w:val="both"/>
        <w:rPr>
          <w:rFonts w:ascii="Arial" w:hAnsi="Arial" w:cs="Arial"/>
        </w:rPr>
      </w:pPr>
      <w:r w:rsidRPr="00210425">
        <w:rPr>
          <w:rFonts w:ascii="Arial" w:hAnsi="Arial" w:cs="Arial"/>
        </w:rPr>
        <w:t xml:space="preserve">Project cash flow is shown in </w:t>
      </w:r>
      <w:r w:rsidR="004F478D">
        <w:rPr>
          <w:rFonts w:ascii="Arial" w:hAnsi="Arial" w:cs="Arial"/>
        </w:rPr>
        <w:t>(</w:t>
      </w:r>
      <w:r w:rsidRPr="00210425">
        <w:rPr>
          <w:rFonts w:ascii="Arial" w:hAnsi="Arial" w:cs="Arial"/>
        </w:rPr>
        <w:t>5</w:t>
      </w:r>
      <w:r w:rsidR="004F478D">
        <w:rPr>
          <w:rFonts w:ascii="Arial" w:hAnsi="Arial" w:cs="Arial"/>
        </w:rPr>
        <w:t>)</w:t>
      </w:r>
      <w:r w:rsidRPr="00210425">
        <w:rPr>
          <w:rFonts w:ascii="Arial" w:hAnsi="Arial" w:cs="Arial"/>
        </w:rPr>
        <w:t>. Operating income from energy sales, operating costs based on power generation, and income taxes of 33% without exemptions are considered. Tax is paid only if there is a positive cash flow before taxes. Asset depreciation is done in a straight line for 25 years.</w:t>
      </w:r>
    </w:p>
    <w:p w:rsidR="00210425" w:rsidRPr="00210425" w:rsidRDefault="00210425" w:rsidP="00210425">
      <w:pPr>
        <w:ind w:firstLine="720"/>
        <w:jc w:val="both"/>
        <w:rPr>
          <w:rFonts w:ascii="Arial" w:hAnsi="Arial" w:cs="Arial"/>
        </w:rPr>
      </w:pPr>
    </w:p>
    <w:p w:rsidR="00210425" w:rsidRPr="00210425" w:rsidRDefault="00210425" w:rsidP="00210425">
      <w:pPr>
        <w:spacing w:line="480" w:lineRule="auto"/>
        <w:rPr>
          <w:rFonts w:ascii="Arial" w:eastAsiaTheme="minorEastAsia" w:hAnsi="Arial" w:cs="Arial"/>
        </w:rPr>
      </w:pPr>
      <m:oMath>
        <m:r>
          <w:rPr>
            <w:rFonts w:ascii="Cambria Math" w:hAnsi="Cambria Math" w:cs="Arial"/>
          </w:rPr>
          <m:t>Cash flow=</m:t>
        </m:r>
        <m:d>
          <m:dPr>
            <m:ctrlPr>
              <w:rPr>
                <w:rFonts w:ascii="Cambria Math" w:hAnsi="Cambria Math" w:cs="Arial"/>
                <w:i/>
              </w:rPr>
            </m:ctrlPr>
          </m:dPr>
          <m:e>
            <m:r>
              <w:rPr>
                <w:rFonts w:ascii="Cambria Math" w:hAnsi="Cambria Math" w:cs="Arial"/>
              </w:rPr>
              <m:t>operating income-operating costs×power generation- depreciation</m:t>
            </m:r>
          </m:e>
        </m:d>
        <m:r>
          <w:rPr>
            <w:rFonts w:ascii="Cambria Math" w:hAnsi="Cambria Math" w:cs="Arial"/>
          </w:rPr>
          <m:t>×</m:t>
        </m:r>
        <m:d>
          <m:dPr>
            <m:ctrlPr>
              <w:rPr>
                <w:rFonts w:ascii="Cambria Math" w:hAnsi="Cambria Math" w:cs="Arial"/>
                <w:i/>
              </w:rPr>
            </m:ctrlPr>
          </m:dPr>
          <m:e>
            <m:r>
              <w:rPr>
                <w:rFonts w:ascii="Cambria Math" w:hAnsi="Cambria Math" w:cs="Arial"/>
              </w:rPr>
              <m:t>1-33%</m:t>
            </m:r>
          </m:e>
        </m:d>
        <m:r>
          <w:rPr>
            <w:rFonts w:ascii="Cambria Math" w:hAnsi="Cambria Math" w:cs="Arial"/>
          </w:rPr>
          <m:t>+depreciation</m:t>
        </m:r>
      </m:oMath>
      <w:r w:rsidRPr="00210425">
        <w:rPr>
          <w:rFonts w:ascii="Arial" w:eastAsiaTheme="minorEastAsia" w:hAnsi="Arial" w:cs="Arial"/>
        </w:rPr>
        <w:t xml:space="preserve">   </w:t>
      </w:r>
      <w:r w:rsidRPr="00210425">
        <w:rPr>
          <w:rFonts w:ascii="Arial" w:eastAsiaTheme="minorEastAsia" w:hAnsi="Arial" w:cs="Arial"/>
        </w:rPr>
        <w:tab/>
      </w:r>
      <w:r w:rsidRPr="00210425">
        <w:rPr>
          <w:rFonts w:ascii="Arial" w:eastAsiaTheme="minorEastAsia" w:hAnsi="Arial" w:cs="Arial"/>
        </w:rPr>
        <w:tab/>
        <w:t xml:space="preserve">  </w:t>
      </w:r>
      <w:r w:rsidRPr="00210425">
        <w:rPr>
          <w:rFonts w:ascii="Arial" w:eastAsiaTheme="minorEastAsia" w:hAnsi="Arial" w:cs="Arial"/>
        </w:rPr>
        <w:tab/>
      </w:r>
      <w:r w:rsidRPr="00210425">
        <w:rPr>
          <w:rFonts w:ascii="Arial" w:eastAsiaTheme="minorEastAsia" w:hAnsi="Arial" w:cs="Arial"/>
        </w:rPr>
        <w:tab/>
      </w:r>
      <w:r w:rsidRPr="00210425">
        <w:rPr>
          <w:rFonts w:ascii="Arial" w:eastAsiaTheme="minorEastAsia" w:hAnsi="Arial" w:cs="Arial"/>
        </w:rPr>
        <w:tab/>
        <w:t xml:space="preserve">                                     (5)</w:t>
      </w:r>
    </w:p>
    <w:p w:rsidR="00210425" w:rsidRPr="00210425" w:rsidRDefault="00210425" w:rsidP="00210425">
      <w:pPr>
        <w:ind w:firstLine="720"/>
        <w:jc w:val="both"/>
        <w:rPr>
          <w:rFonts w:ascii="Arial" w:hAnsi="Arial" w:cs="Arial"/>
          <w:lang w:val="id-ID"/>
        </w:rPr>
      </w:pPr>
      <w:r w:rsidRPr="00210425">
        <w:rPr>
          <w:rFonts w:ascii="Arial" w:hAnsi="Arial" w:cs="Arial"/>
        </w:rPr>
        <w:t xml:space="preserve">Articles 11 and 14 of Law 1715 of 2014 grant tax incentives to renewable energy generation projects from unconventional sources: (a) five-year annual reduction of 50% of the total investment, and (b) asset accelerated depreciation with an annual rate of 20%. These two </w:t>
      </w:r>
      <w:r w:rsidRPr="00210425">
        <w:rPr>
          <w:rFonts w:ascii="Arial" w:hAnsi="Arial" w:cs="Arial"/>
        </w:rPr>
        <w:lastRenderedPageBreak/>
        <w:t>incentives change project cash flow, causing increases when less taxes are paid, or even when no taxes are paid at all</w:t>
      </w:r>
    </w:p>
    <w:p w:rsidR="00210425" w:rsidRDefault="00210425" w:rsidP="008C2A3F">
      <w:pPr>
        <w:ind w:firstLine="720"/>
        <w:jc w:val="both"/>
        <w:rPr>
          <w:rFonts w:ascii="Arial" w:hAnsi="Arial" w:cs="Arial"/>
          <w:lang w:val="id-ID"/>
        </w:rPr>
      </w:pPr>
    </w:p>
    <w:p w:rsidR="005F4EE8" w:rsidRPr="00A063FF" w:rsidRDefault="005F4EE8" w:rsidP="005F4EE8">
      <w:pPr>
        <w:rPr>
          <w:rFonts w:ascii="Arial" w:hAnsi="Arial" w:cs="Arial"/>
          <w:b/>
          <w:bCs/>
        </w:rPr>
      </w:pPr>
    </w:p>
    <w:p w:rsidR="005F4EE8" w:rsidRPr="00A063FF" w:rsidRDefault="005F4EE8" w:rsidP="005F4EE8">
      <w:pPr>
        <w:rPr>
          <w:rFonts w:ascii="Arial" w:hAnsi="Arial" w:cs="Arial"/>
          <w:b/>
          <w:bCs/>
          <w:lang w:val="id-ID"/>
        </w:rPr>
      </w:pPr>
      <w:r w:rsidRPr="00A063FF">
        <w:rPr>
          <w:rFonts w:ascii="Arial" w:hAnsi="Arial" w:cs="Arial"/>
          <w:b/>
          <w:bCs/>
          <w:lang w:val="id-ID"/>
        </w:rPr>
        <w:t xml:space="preserve">3. </w:t>
      </w:r>
      <w:r w:rsidR="004E2D16" w:rsidRPr="00A063FF">
        <w:rPr>
          <w:rFonts w:ascii="Arial" w:hAnsi="Arial" w:cs="Arial"/>
          <w:b/>
          <w:bCs/>
          <w:lang w:val="id-ID"/>
        </w:rPr>
        <w:t xml:space="preserve">RESULTS </w:t>
      </w:r>
      <w:r w:rsidR="004E2D16" w:rsidRPr="00A063FF">
        <w:rPr>
          <w:rFonts w:ascii="Arial" w:hAnsi="Arial" w:cs="Arial"/>
          <w:b/>
          <w:bCs/>
        </w:rPr>
        <w:t>A</w:t>
      </w:r>
      <w:r w:rsidR="004E2D16" w:rsidRPr="00A063FF">
        <w:rPr>
          <w:rFonts w:ascii="Arial" w:hAnsi="Arial" w:cs="Arial"/>
          <w:b/>
          <w:bCs/>
          <w:lang w:val="id-ID"/>
        </w:rPr>
        <w:t>ND ANALYSIS</w:t>
      </w:r>
    </w:p>
    <w:p w:rsidR="00BF5CBF" w:rsidRPr="00BF5CBF" w:rsidRDefault="00BF5CBF" w:rsidP="00BF5CBF">
      <w:pPr>
        <w:ind w:firstLine="720"/>
        <w:jc w:val="both"/>
        <w:rPr>
          <w:rFonts w:ascii="Arial" w:hAnsi="Arial" w:cs="Arial"/>
        </w:rPr>
      </w:pPr>
      <w:r w:rsidRPr="00BF5CBF">
        <w:rPr>
          <w:rFonts w:ascii="Arial" w:hAnsi="Arial" w:cs="Arial"/>
        </w:rPr>
        <w:t xml:space="preserve">The 25-year cash flow projection of a wind park in the Colombian market was carried out with data on the annual energy generation in </w:t>
      </w:r>
      <w:proofErr w:type="spellStart"/>
      <w:r w:rsidRPr="00BF5CBF">
        <w:rPr>
          <w:rFonts w:ascii="Arial" w:hAnsi="Arial" w:cs="Arial"/>
        </w:rPr>
        <w:t>Jepírachi</w:t>
      </w:r>
      <w:proofErr w:type="spellEnd"/>
      <w:r w:rsidRPr="00BF5CBF">
        <w:rPr>
          <w:rFonts w:ascii="Arial" w:hAnsi="Arial" w:cs="Arial"/>
        </w:rPr>
        <w:t>. Two scenarios were considered: one without incentives, and another with incentives according to the energy policy presented in Law 1715 of 2014. Once estimation was obtained, the uncertain variable in the project was modeled in order to assess the real option to defer.</w:t>
      </w:r>
    </w:p>
    <w:p w:rsidR="00BF5CBF" w:rsidRPr="00BF5CBF" w:rsidRDefault="00BF5CBF" w:rsidP="00BF5CBF">
      <w:pPr>
        <w:ind w:firstLine="720"/>
        <w:jc w:val="both"/>
        <w:rPr>
          <w:rFonts w:ascii="Arial" w:hAnsi="Arial" w:cs="Arial"/>
        </w:rPr>
      </w:pPr>
      <w:r w:rsidRPr="00BF5CBF">
        <w:rPr>
          <w:rFonts w:ascii="Arial" w:hAnsi="Arial" w:cs="Arial"/>
        </w:rPr>
        <w:t>According to cash flow projection and simulation, the project’s NPV without incentives was US$9,370,162, while the scenario with incentives was US$2,675,485. While the difference shows that Law 1715 of 2014 can potentially promote investment in wind parks, the impact is not sufficient, since NPV remains negative, and so investors continue to reject the project. However, these projects are characterized by high volatility and uncertainty, and by the options that management can take over time and that NPV is unable to quantify. Therefore, the Real Options method is applied with the option of postponing the decision to invest in the wind park for up to five years.</w:t>
      </w:r>
    </w:p>
    <w:p w:rsidR="00954DC0" w:rsidRPr="00BF5CBF" w:rsidRDefault="00BF5CBF" w:rsidP="00341A2D">
      <w:pPr>
        <w:ind w:firstLine="720"/>
        <w:jc w:val="both"/>
        <w:rPr>
          <w:rFonts w:ascii="Arial" w:hAnsi="Arial" w:cs="Arial"/>
        </w:rPr>
      </w:pPr>
      <w:r w:rsidRPr="00BF5CBF">
        <w:rPr>
          <w:rFonts w:ascii="Arial" w:hAnsi="Arial" w:cs="Arial"/>
        </w:rPr>
        <w:t xml:space="preserve">After the simulation of energy prices in project cash flow was ran, the volatility for the scenario without incentives resulted in 43.74%, while it resulted in 40.53% with incentives. This means fiscal enticements regarding energy policy help achieve better cash flows for the </w:t>
      </w:r>
      <w:r w:rsidR="00341A2D" w:rsidRPr="00BF5CBF">
        <w:rPr>
          <w:rFonts w:ascii="Arial" w:hAnsi="Arial" w:cs="Arial"/>
        </w:rPr>
        <w:t>investor and</w:t>
      </w:r>
      <w:r w:rsidRPr="00BF5CBF">
        <w:rPr>
          <w:rFonts w:ascii="Arial" w:hAnsi="Arial" w:cs="Arial"/>
        </w:rPr>
        <w:t xml:space="preserve"> reduce volatility risks.</w:t>
      </w:r>
      <w:r w:rsidR="00341A2D">
        <w:rPr>
          <w:rFonts w:ascii="Arial" w:hAnsi="Arial" w:cs="Arial"/>
        </w:rPr>
        <w:t xml:space="preserve"> </w:t>
      </w:r>
      <w:r w:rsidRPr="00BF5CBF">
        <w:rPr>
          <w:rFonts w:ascii="Arial" w:hAnsi="Arial" w:cs="Arial"/>
        </w:rPr>
        <w:t xml:space="preserve">Input variables for the assessment of the deferral real option are shown in </w:t>
      </w:r>
      <w:r w:rsidR="00C92B19" w:rsidRPr="00BF5CBF">
        <w:rPr>
          <w:rFonts w:ascii="Arial" w:hAnsi="Arial" w:cs="Arial"/>
        </w:rPr>
        <w:t xml:space="preserve">Table </w:t>
      </w:r>
      <w:r w:rsidRPr="00BF5CBF">
        <w:rPr>
          <w:rFonts w:ascii="Arial" w:hAnsi="Arial" w:cs="Arial"/>
        </w:rPr>
        <w:t>3.</w:t>
      </w:r>
    </w:p>
    <w:p w:rsidR="00BF5CBF" w:rsidRPr="00BF5CBF" w:rsidRDefault="00BF5CBF" w:rsidP="00BF5CBF">
      <w:pPr>
        <w:ind w:firstLine="720"/>
        <w:jc w:val="both"/>
        <w:rPr>
          <w:rFonts w:ascii="Arial" w:hAnsi="Arial" w:cs="Arial"/>
        </w:rPr>
      </w:pPr>
      <w:r w:rsidRPr="00BF5CBF">
        <w:rPr>
          <w:rFonts w:ascii="Arial" w:hAnsi="Arial" w:cs="Arial"/>
        </w:rPr>
        <w:t>Table 3. Variables to assess real option for energy projects without incentive.</w:t>
      </w:r>
    </w:p>
    <w:tbl>
      <w:tblPr>
        <w:tblStyle w:val="2"/>
        <w:tblW w:w="4820" w:type="dxa"/>
        <w:jc w:val="center"/>
        <w:tblBorders>
          <w:bottom w:val="single" w:sz="4" w:space="0" w:color="000000"/>
        </w:tblBorders>
        <w:tblLayout w:type="fixed"/>
        <w:tblLook w:val="0000" w:firstRow="0" w:lastRow="0" w:firstColumn="0" w:lastColumn="0" w:noHBand="0" w:noVBand="0"/>
      </w:tblPr>
      <w:tblGrid>
        <w:gridCol w:w="2552"/>
        <w:gridCol w:w="850"/>
        <w:gridCol w:w="1418"/>
      </w:tblGrid>
      <w:tr w:rsidR="00BF5CBF" w:rsidRPr="00341A2D" w:rsidTr="00776D49">
        <w:trPr>
          <w:jc w:val="center"/>
        </w:trPr>
        <w:tc>
          <w:tcPr>
            <w:tcW w:w="2552" w:type="dxa"/>
            <w:tcBorders>
              <w:top w:val="single" w:sz="4" w:space="0" w:color="000000"/>
              <w:bottom w:val="single" w:sz="4" w:space="0" w:color="000000"/>
            </w:tcBorders>
          </w:tcPr>
          <w:sdt>
            <w:sdtPr>
              <w:rPr>
                <w:sz w:val="16"/>
                <w:szCs w:val="16"/>
              </w:rPr>
              <w:tag w:val="goog_rdk_53"/>
              <w:id w:val="-829366366"/>
            </w:sdtPr>
            <w:sdtEndPr/>
            <w:sdtContent>
              <w:p w:rsidR="00BF5CBF" w:rsidRPr="00341A2D" w:rsidRDefault="00BF5CBF" w:rsidP="00776D49">
                <w:pPr>
                  <w:jc w:val="center"/>
                  <w:rPr>
                    <w:sz w:val="16"/>
                    <w:szCs w:val="16"/>
                  </w:rPr>
                </w:pPr>
                <w:r w:rsidRPr="00341A2D">
                  <w:rPr>
                    <w:sz w:val="16"/>
                    <w:szCs w:val="16"/>
                  </w:rPr>
                  <w:t>Variable</w:t>
                </w:r>
              </w:p>
            </w:sdtContent>
          </w:sdt>
        </w:tc>
        <w:tc>
          <w:tcPr>
            <w:tcW w:w="850" w:type="dxa"/>
            <w:tcBorders>
              <w:top w:val="single" w:sz="4" w:space="0" w:color="000000"/>
              <w:bottom w:val="single" w:sz="4" w:space="0" w:color="000000"/>
            </w:tcBorders>
          </w:tcPr>
          <w:sdt>
            <w:sdtPr>
              <w:rPr>
                <w:sz w:val="16"/>
                <w:szCs w:val="16"/>
              </w:rPr>
              <w:tag w:val="goog_rdk_54"/>
              <w:id w:val="-1409610101"/>
            </w:sdtPr>
            <w:sdtEndPr/>
            <w:sdtContent>
              <w:p w:rsidR="00BF5CBF" w:rsidRPr="00341A2D" w:rsidRDefault="00BF5CBF" w:rsidP="00776D49">
                <w:pPr>
                  <w:jc w:val="center"/>
                  <w:rPr>
                    <w:sz w:val="16"/>
                    <w:szCs w:val="16"/>
                  </w:rPr>
                </w:pPr>
                <w:r w:rsidRPr="00341A2D">
                  <w:rPr>
                    <w:sz w:val="16"/>
                    <w:szCs w:val="16"/>
                  </w:rPr>
                  <w:t>Notation</w:t>
                </w:r>
              </w:p>
            </w:sdtContent>
          </w:sdt>
        </w:tc>
        <w:tc>
          <w:tcPr>
            <w:tcW w:w="1418" w:type="dxa"/>
            <w:tcBorders>
              <w:top w:val="single" w:sz="4" w:space="0" w:color="000000"/>
              <w:bottom w:val="single" w:sz="4" w:space="0" w:color="000000"/>
            </w:tcBorders>
          </w:tcPr>
          <w:p w:rsidR="00BF5CBF" w:rsidRPr="00341A2D" w:rsidRDefault="00BF5CBF" w:rsidP="00776D49">
            <w:pPr>
              <w:jc w:val="center"/>
              <w:rPr>
                <w:sz w:val="16"/>
                <w:szCs w:val="16"/>
              </w:rPr>
            </w:pPr>
            <w:r w:rsidRPr="00341A2D">
              <w:rPr>
                <w:sz w:val="16"/>
                <w:szCs w:val="16"/>
              </w:rPr>
              <w:t>Value</w:t>
            </w:r>
          </w:p>
        </w:tc>
      </w:tr>
      <w:tr w:rsidR="00BF5CBF" w:rsidRPr="00341A2D" w:rsidTr="00776D49">
        <w:trPr>
          <w:jc w:val="center"/>
        </w:trPr>
        <w:tc>
          <w:tcPr>
            <w:tcW w:w="2552" w:type="dxa"/>
            <w:tcBorders>
              <w:top w:val="single" w:sz="4" w:space="0" w:color="000000"/>
            </w:tcBorders>
            <w:vAlign w:val="center"/>
          </w:tcPr>
          <w:p w:rsidR="00BF5CBF" w:rsidRPr="00341A2D" w:rsidRDefault="00BF5CBF" w:rsidP="00776D49">
            <w:pPr>
              <w:jc w:val="center"/>
              <w:rPr>
                <w:sz w:val="16"/>
                <w:szCs w:val="16"/>
              </w:rPr>
            </w:pPr>
            <w:r w:rsidRPr="00341A2D">
              <w:rPr>
                <w:sz w:val="16"/>
                <w:szCs w:val="16"/>
              </w:rPr>
              <w:t>Present value expected cash flows</w:t>
            </w:r>
          </w:p>
        </w:tc>
        <w:tc>
          <w:tcPr>
            <w:tcW w:w="850" w:type="dxa"/>
            <w:tcBorders>
              <w:top w:val="single" w:sz="4" w:space="0" w:color="000000"/>
            </w:tcBorders>
            <w:vAlign w:val="center"/>
          </w:tcPr>
          <w:p w:rsidR="00BF5CBF" w:rsidRPr="00341A2D" w:rsidRDefault="00BF5CBF" w:rsidP="00776D49">
            <w:pPr>
              <w:jc w:val="center"/>
              <w:rPr>
                <w:sz w:val="16"/>
                <w:szCs w:val="16"/>
              </w:rPr>
            </w:pPr>
            <w:r w:rsidRPr="00341A2D">
              <w:rPr>
                <w:sz w:val="16"/>
                <w:szCs w:val="16"/>
              </w:rPr>
              <w:t>S</w:t>
            </w:r>
            <w:r w:rsidRPr="00341A2D">
              <w:rPr>
                <w:sz w:val="16"/>
                <w:szCs w:val="16"/>
                <w:vertAlign w:val="subscript"/>
              </w:rPr>
              <w:t>0</w:t>
            </w:r>
          </w:p>
        </w:tc>
        <w:tc>
          <w:tcPr>
            <w:tcW w:w="1418" w:type="dxa"/>
            <w:tcBorders>
              <w:top w:val="single" w:sz="4" w:space="0" w:color="000000"/>
            </w:tcBorders>
            <w:vAlign w:val="center"/>
          </w:tcPr>
          <w:p w:rsidR="00BF5CBF" w:rsidRPr="00341A2D" w:rsidRDefault="00BF5CBF" w:rsidP="00776D49">
            <w:pPr>
              <w:jc w:val="center"/>
              <w:rPr>
                <w:sz w:val="16"/>
                <w:szCs w:val="16"/>
              </w:rPr>
            </w:pPr>
            <w:r w:rsidRPr="00341A2D">
              <w:rPr>
                <w:sz w:val="16"/>
                <w:szCs w:val="16"/>
              </w:rPr>
              <w:t>19,431,338 USD</w:t>
            </w:r>
          </w:p>
        </w:tc>
      </w:tr>
      <w:tr w:rsidR="00BF5CBF" w:rsidRPr="00341A2D" w:rsidTr="00776D49">
        <w:trPr>
          <w:jc w:val="center"/>
        </w:trPr>
        <w:tc>
          <w:tcPr>
            <w:tcW w:w="2552" w:type="dxa"/>
            <w:vAlign w:val="center"/>
          </w:tcPr>
          <w:p w:rsidR="00BF5CBF" w:rsidRPr="00341A2D" w:rsidRDefault="00BF5CBF" w:rsidP="00776D49">
            <w:pPr>
              <w:jc w:val="center"/>
              <w:rPr>
                <w:sz w:val="16"/>
                <w:szCs w:val="16"/>
              </w:rPr>
            </w:pPr>
            <w:r w:rsidRPr="00341A2D">
              <w:rPr>
                <w:sz w:val="16"/>
                <w:szCs w:val="16"/>
              </w:rPr>
              <w:t>Initial investment</w:t>
            </w:r>
          </w:p>
        </w:tc>
        <w:tc>
          <w:tcPr>
            <w:tcW w:w="850" w:type="dxa"/>
            <w:vAlign w:val="center"/>
          </w:tcPr>
          <w:p w:rsidR="00BF5CBF" w:rsidRPr="00341A2D" w:rsidRDefault="00BF5CBF" w:rsidP="00776D49">
            <w:pPr>
              <w:jc w:val="center"/>
              <w:rPr>
                <w:sz w:val="16"/>
                <w:szCs w:val="16"/>
              </w:rPr>
            </w:pPr>
            <w:r w:rsidRPr="00341A2D">
              <w:rPr>
                <w:sz w:val="16"/>
                <w:szCs w:val="16"/>
              </w:rPr>
              <w:t>K</w:t>
            </w:r>
          </w:p>
        </w:tc>
        <w:tc>
          <w:tcPr>
            <w:tcW w:w="1418" w:type="dxa"/>
            <w:vAlign w:val="center"/>
          </w:tcPr>
          <w:p w:rsidR="00BF5CBF" w:rsidRPr="00341A2D" w:rsidRDefault="00BF5CBF" w:rsidP="00776D49">
            <w:pPr>
              <w:jc w:val="center"/>
              <w:rPr>
                <w:sz w:val="16"/>
                <w:szCs w:val="16"/>
              </w:rPr>
            </w:pPr>
            <w:r w:rsidRPr="00341A2D">
              <w:rPr>
                <w:sz w:val="16"/>
                <w:szCs w:val="16"/>
              </w:rPr>
              <w:t>28,801,500 USD</w:t>
            </w:r>
          </w:p>
        </w:tc>
      </w:tr>
      <w:tr w:rsidR="00BF5CBF" w:rsidRPr="00341A2D" w:rsidTr="00776D49">
        <w:trPr>
          <w:jc w:val="center"/>
        </w:trPr>
        <w:tc>
          <w:tcPr>
            <w:tcW w:w="2552" w:type="dxa"/>
            <w:vAlign w:val="center"/>
          </w:tcPr>
          <w:p w:rsidR="00BF5CBF" w:rsidRPr="00341A2D" w:rsidRDefault="00BF5CBF" w:rsidP="00776D49">
            <w:pPr>
              <w:jc w:val="center"/>
              <w:rPr>
                <w:sz w:val="16"/>
                <w:szCs w:val="16"/>
              </w:rPr>
            </w:pPr>
            <w:r w:rsidRPr="00341A2D">
              <w:rPr>
                <w:sz w:val="16"/>
                <w:szCs w:val="16"/>
              </w:rPr>
              <w:t>Cash flow volatility</w:t>
            </w:r>
          </w:p>
        </w:tc>
        <w:tc>
          <w:tcPr>
            <w:tcW w:w="850" w:type="dxa"/>
            <w:vAlign w:val="center"/>
          </w:tcPr>
          <w:p w:rsidR="00BF5CBF" w:rsidRPr="00341A2D" w:rsidRDefault="00BF5CBF" w:rsidP="00776D49">
            <w:pPr>
              <w:jc w:val="center"/>
              <w:rPr>
                <w:sz w:val="16"/>
                <w:szCs w:val="16"/>
              </w:rPr>
            </w:pPr>
            <w:r w:rsidRPr="00341A2D">
              <w:rPr>
                <w:sz w:val="16"/>
                <w:szCs w:val="16"/>
              </w:rPr>
              <w:t>σ</w:t>
            </w:r>
          </w:p>
        </w:tc>
        <w:tc>
          <w:tcPr>
            <w:tcW w:w="1418" w:type="dxa"/>
            <w:vAlign w:val="center"/>
          </w:tcPr>
          <w:p w:rsidR="00BF5CBF" w:rsidRPr="00341A2D" w:rsidRDefault="00BF5CBF" w:rsidP="00776D49">
            <w:pPr>
              <w:jc w:val="center"/>
              <w:rPr>
                <w:sz w:val="16"/>
                <w:szCs w:val="16"/>
              </w:rPr>
            </w:pPr>
            <w:r w:rsidRPr="00341A2D">
              <w:rPr>
                <w:sz w:val="16"/>
                <w:szCs w:val="16"/>
              </w:rPr>
              <w:t>43.74%</w:t>
            </w:r>
          </w:p>
        </w:tc>
      </w:tr>
      <w:tr w:rsidR="00BF5CBF" w:rsidRPr="00341A2D" w:rsidTr="00776D49">
        <w:trPr>
          <w:jc w:val="center"/>
        </w:trPr>
        <w:tc>
          <w:tcPr>
            <w:tcW w:w="2552" w:type="dxa"/>
            <w:vAlign w:val="center"/>
          </w:tcPr>
          <w:p w:rsidR="00BF5CBF" w:rsidRPr="00341A2D" w:rsidRDefault="00BF5CBF" w:rsidP="00776D49">
            <w:pPr>
              <w:jc w:val="center"/>
              <w:rPr>
                <w:sz w:val="16"/>
                <w:szCs w:val="16"/>
              </w:rPr>
            </w:pPr>
            <w:r w:rsidRPr="00341A2D">
              <w:rPr>
                <w:sz w:val="16"/>
                <w:szCs w:val="16"/>
              </w:rPr>
              <w:t>Discount rate</w:t>
            </w:r>
          </w:p>
        </w:tc>
        <w:tc>
          <w:tcPr>
            <w:tcW w:w="850" w:type="dxa"/>
            <w:vAlign w:val="center"/>
          </w:tcPr>
          <w:p w:rsidR="00BF5CBF" w:rsidRPr="00341A2D" w:rsidRDefault="00BF5CBF" w:rsidP="00776D49">
            <w:pPr>
              <w:jc w:val="center"/>
              <w:rPr>
                <w:sz w:val="16"/>
                <w:szCs w:val="16"/>
              </w:rPr>
            </w:pPr>
            <w:r w:rsidRPr="00341A2D">
              <w:rPr>
                <w:sz w:val="16"/>
                <w:szCs w:val="16"/>
              </w:rPr>
              <w:t>r</w:t>
            </w:r>
          </w:p>
        </w:tc>
        <w:tc>
          <w:tcPr>
            <w:tcW w:w="1418" w:type="dxa"/>
            <w:vAlign w:val="center"/>
          </w:tcPr>
          <w:p w:rsidR="00BF5CBF" w:rsidRPr="00341A2D" w:rsidRDefault="00BF5CBF" w:rsidP="00776D49">
            <w:pPr>
              <w:jc w:val="center"/>
              <w:rPr>
                <w:sz w:val="16"/>
                <w:szCs w:val="16"/>
              </w:rPr>
            </w:pPr>
            <w:r w:rsidRPr="00341A2D">
              <w:rPr>
                <w:sz w:val="16"/>
                <w:szCs w:val="16"/>
              </w:rPr>
              <w:t>9.54% annual</w:t>
            </w:r>
          </w:p>
        </w:tc>
      </w:tr>
      <w:tr w:rsidR="00BF5CBF" w:rsidRPr="00341A2D" w:rsidTr="00776D49">
        <w:trPr>
          <w:jc w:val="center"/>
        </w:trPr>
        <w:tc>
          <w:tcPr>
            <w:tcW w:w="2552" w:type="dxa"/>
            <w:vAlign w:val="center"/>
          </w:tcPr>
          <w:p w:rsidR="00BF5CBF" w:rsidRPr="00341A2D" w:rsidRDefault="00BF5CBF" w:rsidP="00776D49">
            <w:pPr>
              <w:jc w:val="center"/>
              <w:rPr>
                <w:sz w:val="16"/>
                <w:szCs w:val="16"/>
              </w:rPr>
            </w:pPr>
            <w:r w:rsidRPr="00341A2D">
              <w:rPr>
                <w:sz w:val="16"/>
                <w:szCs w:val="16"/>
              </w:rPr>
              <w:t>Deadline to assess deferral</w:t>
            </w:r>
          </w:p>
        </w:tc>
        <w:tc>
          <w:tcPr>
            <w:tcW w:w="850" w:type="dxa"/>
            <w:vAlign w:val="center"/>
          </w:tcPr>
          <w:p w:rsidR="00BF5CBF" w:rsidRPr="00341A2D" w:rsidRDefault="00BF5CBF" w:rsidP="00776D49">
            <w:pPr>
              <w:jc w:val="center"/>
              <w:rPr>
                <w:sz w:val="16"/>
                <w:szCs w:val="16"/>
              </w:rPr>
            </w:pPr>
            <w:r w:rsidRPr="00341A2D">
              <w:rPr>
                <w:sz w:val="16"/>
                <w:szCs w:val="16"/>
              </w:rPr>
              <w:t>T</w:t>
            </w:r>
          </w:p>
        </w:tc>
        <w:tc>
          <w:tcPr>
            <w:tcW w:w="1418" w:type="dxa"/>
            <w:vAlign w:val="center"/>
          </w:tcPr>
          <w:p w:rsidR="00BF5CBF" w:rsidRPr="00341A2D" w:rsidRDefault="00BF5CBF" w:rsidP="00776D49">
            <w:pPr>
              <w:jc w:val="center"/>
              <w:rPr>
                <w:sz w:val="16"/>
                <w:szCs w:val="16"/>
              </w:rPr>
            </w:pPr>
            <w:r w:rsidRPr="00341A2D">
              <w:rPr>
                <w:sz w:val="16"/>
                <w:szCs w:val="16"/>
              </w:rPr>
              <w:t>5 years</w:t>
            </w:r>
          </w:p>
        </w:tc>
      </w:tr>
    </w:tbl>
    <w:p w:rsidR="00BF5CBF" w:rsidRPr="00BF5CBF" w:rsidRDefault="00BF5CBF" w:rsidP="00BF5CBF">
      <w:pPr>
        <w:ind w:firstLine="720"/>
        <w:jc w:val="both"/>
        <w:rPr>
          <w:rFonts w:ascii="Arial" w:hAnsi="Arial" w:cs="Arial"/>
        </w:rPr>
      </w:pPr>
    </w:p>
    <w:p w:rsidR="00BF5CBF" w:rsidRPr="00BF5CBF" w:rsidRDefault="00BF5CBF" w:rsidP="00BF5CBF">
      <w:pPr>
        <w:ind w:firstLine="720"/>
        <w:jc w:val="both"/>
        <w:rPr>
          <w:rFonts w:ascii="Arial" w:hAnsi="Arial" w:cs="Arial"/>
        </w:rPr>
      </w:pPr>
      <w:r w:rsidRPr="00BF5CBF">
        <w:rPr>
          <w:rFonts w:ascii="Arial" w:hAnsi="Arial" w:cs="Arial"/>
        </w:rPr>
        <w:t xml:space="preserve">After applying the real options method, the decision tree for deferral is obtained. </w:t>
      </w:r>
      <w:r w:rsidR="006B1301" w:rsidRPr="00BF5CBF">
        <w:rPr>
          <w:rFonts w:ascii="Arial" w:hAnsi="Arial" w:cs="Arial"/>
        </w:rPr>
        <w:t xml:space="preserve">Figure </w:t>
      </w:r>
      <w:r w:rsidRPr="00BF5CBF">
        <w:rPr>
          <w:rFonts w:ascii="Arial" w:hAnsi="Arial" w:cs="Arial"/>
        </w:rPr>
        <w:t xml:space="preserve">5 shows the binomial decision tree for the scenario without incentives. According to this valuation method, the project is not initially rejected, rather, it is postponed until market conditions favor it. Thus, </w:t>
      </w:r>
      <w:r w:rsidR="006B1301" w:rsidRPr="00BF5CBF">
        <w:rPr>
          <w:rFonts w:ascii="Arial" w:hAnsi="Arial" w:cs="Arial"/>
        </w:rPr>
        <w:t xml:space="preserve">Figure </w:t>
      </w:r>
      <w:r w:rsidRPr="00BF5CBF">
        <w:rPr>
          <w:rFonts w:ascii="Arial" w:hAnsi="Arial" w:cs="Arial"/>
        </w:rPr>
        <w:t>5 shows the project is postponed for a year with a favorable scenario to invest; favorable conditions are also obtained for the second year; in year three, two scenarios; in the fourth year, two scenarios; and in year five, three scenarios.</w:t>
      </w:r>
    </w:p>
    <w:p w:rsidR="00BF5CBF" w:rsidRPr="00BF5CBF" w:rsidRDefault="00BF5CBF" w:rsidP="00BF5CBF">
      <w:pPr>
        <w:ind w:firstLine="720"/>
        <w:jc w:val="both"/>
        <w:rPr>
          <w:rFonts w:ascii="Arial" w:hAnsi="Arial" w:cs="Arial"/>
        </w:rPr>
      </w:pPr>
    </w:p>
    <w:p w:rsidR="00BF5CBF" w:rsidRPr="00BF5CBF" w:rsidRDefault="00BF5CBF" w:rsidP="00BF5CBF">
      <w:pPr>
        <w:ind w:firstLine="720"/>
        <w:jc w:val="center"/>
        <w:rPr>
          <w:rFonts w:ascii="Arial" w:hAnsi="Arial" w:cs="Arial"/>
        </w:rPr>
      </w:pPr>
      <w:r w:rsidRPr="00BF5CBF">
        <w:rPr>
          <w:rFonts w:ascii="Arial" w:hAnsi="Arial" w:cs="Arial"/>
          <w:noProof/>
          <w:lang w:val="es-CO"/>
        </w:rPr>
        <w:drawing>
          <wp:inline distT="0" distB="0" distL="0" distR="0" wp14:anchorId="7FDD194B" wp14:editId="60205CF0">
            <wp:extent cx="2841757" cy="1540384"/>
            <wp:effectExtent l="0" t="0" r="0"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4093" cy="1563333"/>
                    </a:xfrm>
                    <a:prstGeom prst="rect">
                      <a:avLst/>
                    </a:prstGeom>
                    <a:noFill/>
                    <a:ln>
                      <a:noFill/>
                    </a:ln>
                  </pic:spPr>
                </pic:pic>
              </a:graphicData>
            </a:graphic>
          </wp:inline>
        </w:drawing>
      </w:r>
    </w:p>
    <w:p w:rsidR="00BF5CBF" w:rsidRPr="00BF5CBF" w:rsidRDefault="00BF5CBF" w:rsidP="00BF5CBF">
      <w:pPr>
        <w:jc w:val="center"/>
        <w:rPr>
          <w:rFonts w:ascii="Arial" w:hAnsi="Arial" w:cs="Arial"/>
        </w:rPr>
      </w:pPr>
      <w:r w:rsidRPr="00BF5CBF">
        <w:rPr>
          <w:rFonts w:ascii="Arial" w:hAnsi="Arial" w:cs="Arial"/>
        </w:rPr>
        <w:t>Figure 5. Binomial decision tree for the scenario without incentives.</w:t>
      </w:r>
    </w:p>
    <w:p w:rsidR="00BF5CBF" w:rsidRPr="00BF5CBF" w:rsidRDefault="00BF5CBF" w:rsidP="00BF5CBF">
      <w:pPr>
        <w:jc w:val="center"/>
        <w:rPr>
          <w:rFonts w:ascii="Arial" w:hAnsi="Arial" w:cs="Arial"/>
        </w:rPr>
      </w:pPr>
    </w:p>
    <w:p w:rsidR="00BF5CBF" w:rsidRPr="00BF5CBF" w:rsidRDefault="00BF5CBF" w:rsidP="00BF5CBF">
      <w:pPr>
        <w:ind w:firstLine="720"/>
        <w:jc w:val="both"/>
        <w:rPr>
          <w:rFonts w:ascii="Arial" w:hAnsi="Arial" w:cs="Arial"/>
        </w:rPr>
      </w:pPr>
      <w:r w:rsidRPr="00BF5CBF">
        <w:rPr>
          <w:rFonts w:ascii="Arial" w:hAnsi="Arial" w:cs="Arial"/>
        </w:rPr>
        <w:t>Results in the decision tree are the same for the scenario with fiscal incentives (</w:t>
      </w:r>
      <w:r w:rsidR="006B1301" w:rsidRPr="00BF5CBF">
        <w:rPr>
          <w:rFonts w:ascii="Arial" w:hAnsi="Arial" w:cs="Arial"/>
        </w:rPr>
        <w:t xml:space="preserve">Figure </w:t>
      </w:r>
      <w:r w:rsidRPr="00BF5CBF">
        <w:rPr>
          <w:rFonts w:ascii="Arial" w:hAnsi="Arial" w:cs="Arial"/>
        </w:rPr>
        <w:t>6). These scenarios differ in the value of the actual defer option. The option to defer has a value of $7,429,563 without considering incentives, while in the scenario with incentives the value is $12,562,627. Investment deferral for up to five years indicates that, in any scenario, the project should not be rejected and could be postponed until favorable conditions are obtained, which are expected since the first year.</w:t>
      </w:r>
    </w:p>
    <w:p w:rsidR="00BF5CBF" w:rsidRPr="00BF5CBF" w:rsidRDefault="00BF5CBF" w:rsidP="00BF5CBF">
      <w:pPr>
        <w:ind w:firstLine="720"/>
        <w:jc w:val="both"/>
        <w:rPr>
          <w:rFonts w:ascii="Arial" w:hAnsi="Arial" w:cs="Arial"/>
        </w:rPr>
      </w:pPr>
    </w:p>
    <w:p w:rsidR="00BF5CBF" w:rsidRPr="00BF5CBF" w:rsidRDefault="00BF5CBF" w:rsidP="00BF5CBF">
      <w:pPr>
        <w:ind w:firstLine="720"/>
        <w:jc w:val="center"/>
        <w:rPr>
          <w:rFonts w:ascii="Arial" w:hAnsi="Arial" w:cs="Arial"/>
        </w:rPr>
      </w:pPr>
      <w:r w:rsidRPr="00BF5CBF">
        <w:rPr>
          <w:rFonts w:ascii="Arial" w:hAnsi="Arial" w:cs="Arial"/>
          <w:noProof/>
          <w:lang w:val="es-CO"/>
        </w:rPr>
        <w:lastRenderedPageBreak/>
        <w:drawing>
          <wp:inline distT="0" distB="0" distL="0" distR="0" wp14:anchorId="549A456B" wp14:editId="3D65F8BB">
            <wp:extent cx="2884429" cy="156351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1099" cy="1583391"/>
                    </a:xfrm>
                    <a:prstGeom prst="rect">
                      <a:avLst/>
                    </a:prstGeom>
                    <a:noFill/>
                    <a:ln>
                      <a:noFill/>
                    </a:ln>
                  </pic:spPr>
                </pic:pic>
              </a:graphicData>
            </a:graphic>
          </wp:inline>
        </w:drawing>
      </w:r>
    </w:p>
    <w:p w:rsidR="00BF5CBF" w:rsidRPr="00BF5CBF" w:rsidRDefault="00BF5CBF" w:rsidP="00BF5CBF">
      <w:pPr>
        <w:ind w:firstLine="720"/>
        <w:jc w:val="center"/>
        <w:rPr>
          <w:rFonts w:ascii="Arial" w:hAnsi="Arial" w:cs="Arial"/>
        </w:rPr>
      </w:pPr>
      <w:r w:rsidRPr="00BF5CBF">
        <w:rPr>
          <w:rFonts w:ascii="Arial" w:hAnsi="Arial" w:cs="Arial"/>
        </w:rPr>
        <w:t>Figure 6. Binomial decision tree for the scenario with incentives.</w:t>
      </w:r>
    </w:p>
    <w:p w:rsidR="00BF5CBF" w:rsidRPr="00BF5CBF" w:rsidRDefault="00BF5CBF" w:rsidP="00BF5CBF">
      <w:pPr>
        <w:ind w:firstLine="720"/>
        <w:jc w:val="both"/>
        <w:rPr>
          <w:rFonts w:ascii="Arial" w:hAnsi="Arial" w:cs="Arial"/>
        </w:rPr>
      </w:pPr>
    </w:p>
    <w:p w:rsidR="00BF5CBF" w:rsidRPr="00BF5CBF" w:rsidRDefault="00BF5CBF" w:rsidP="00BF5CBF">
      <w:pPr>
        <w:ind w:firstLine="720"/>
        <w:jc w:val="both"/>
        <w:rPr>
          <w:rFonts w:ascii="Arial" w:hAnsi="Arial" w:cs="Arial"/>
        </w:rPr>
      </w:pPr>
      <w:r w:rsidRPr="00BF5CBF">
        <w:rPr>
          <w:rFonts w:ascii="Arial" w:hAnsi="Arial" w:cs="Arial"/>
        </w:rPr>
        <w:t xml:space="preserve">Better results are obtained by including the real option value in the NPV. Without tax benefits, the new NPV including the real option is US$1,940,598. With tax benefits, the new NPV is US$9,887,143. The quantification of the flexibility to postpone shows that it is possible to accept the energy project as long as the benefits of Law 1715 of 2014 are applied. However, if the real option does not include these benefits, the project is rejected, given NPV remain negative. </w:t>
      </w:r>
    </w:p>
    <w:p w:rsidR="00BF5CBF" w:rsidRPr="00BF5CBF" w:rsidRDefault="00BF5CBF" w:rsidP="00BF5CBF">
      <w:pPr>
        <w:ind w:firstLine="720"/>
        <w:jc w:val="both"/>
        <w:rPr>
          <w:rFonts w:ascii="Arial" w:hAnsi="Arial" w:cs="Arial"/>
        </w:rPr>
      </w:pPr>
      <w:r w:rsidRPr="00BF5CBF">
        <w:rPr>
          <w:rFonts w:ascii="Arial" w:hAnsi="Arial" w:cs="Arial"/>
        </w:rPr>
        <w:t>Deferral represents 38% of the present value of the project cash flow without incentives, and 48% in the scenario with incentives. The real option to defer manages to increase the project’s NPV without incentives by 79%, and 470% in the project with incentives. Drastic changes in project value are obtained with the Real Options method, however, the literature states that these energy projects are highly volatile and uncertain, and these high values are reached due to volatility and differences between S</w:t>
      </w:r>
      <w:r w:rsidRPr="00BF5CBF">
        <w:rPr>
          <w:rFonts w:ascii="Arial" w:hAnsi="Arial" w:cs="Arial"/>
          <w:vertAlign w:val="subscript"/>
        </w:rPr>
        <w:t>0</w:t>
      </w:r>
      <w:r w:rsidRPr="00BF5CBF">
        <w:rPr>
          <w:rFonts w:ascii="Arial" w:hAnsi="Arial" w:cs="Arial"/>
        </w:rPr>
        <w:t xml:space="preserve"> and K.</w:t>
      </w:r>
    </w:p>
    <w:p w:rsidR="00BF5CBF" w:rsidRDefault="00BF5CBF" w:rsidP="00BF5CBF">
      <w:pPr>
        <w:ind w:firstLine="720"/>
        <w:jc w:val="both"/>
        <w:rPr>
          <w:rFonts w:ascii="Arial" w:hAnsi="Arial" w:cs="Arial"/>
          <w:lang w:val="id-ID"/>
        </w:rPr>
      </w:pPr>
    </w:p>
    <w:p w:rsidR="005F4EE8" w:rsidRPr="00A063FF" w:rsidRDefault="005F4EE8" w:rsidP="005F4EE8">
      <w:pPr>
        <w:rPr>
          <w:rFonts w:ascii="Arial" w:hAnsi="Arial" w:cs="Arial"/>
          <w:b/>
          <w:bCs/>
          <w:lang w:val="id-ID"/>
        </w:rPr>
      </w:pPr>
      <w:r w:rsidRPr="00A063FF">
        <w:rPr>
          <w:rFonts w:ascii="Arial" w:hAnsi="Arial" w:cs="Arial"/>
          <w:b/>
          <w:bCs/>
          <w:lang w:val="id-ID"/>
        </w:rPr>
        <w:t xml:space="preserve">4. </w:t>
      </w:r>
      <w:r w:rsidR="004E2D16" w:rsidRPr="00A063FF">
        <w:rPr>
          <w:rFonts w:ascii="Arial" w:hAnsi="Arial" w:cs="Arial"/>
          <w:b/>
          <w:bCs/>
          <w:lang w:val="id-ID"/>
        </w:rPr>
        <w:t>CONCLUSION</w:t>
      </w:r>
    </w:p>
    <w:p w:rsidR="00341A2D" w:rsidRPr="00341A2D" w:rsidRDefault="00341A2D" w:rsidP="009D60BF">
      <w:pPr>
        <w:ind w:firstLine="720"/>
        <w:jc w:val="both"/>
        <w:rPr>
          <w:rFonts w:ascii="Arial" w:hAnsi="Arial" w:cs="Arial"/>
        </w:rPr>
      </w:pPr>
      <w:r w:rsidRPr="00341A2D">
        <w:rPr>
          <w:rFonts w:ascii="Arial" w:hAnsi="Arial" w:cs="Arial"/>
        </w:rPr>
        <w:t>Project management can analyze market conditions through the application of Real Options, as information is obtained and uncertainty is reduced. Energy generation projects are highly uncertain because of the variability in energy prices, and even more so those that work with non-conventional renewable sources. The latter are usually not viable due to investment costs. Non-conventional source generation projects are not economically viable if they are considered under traditional project valuation methods, such as the NVP. However, these methods are not capable of quantifying managerial flexibility such as deferring the project until market conditions favor investment. The Real Options method quantifies this managerial flexibility through the valuation used in financial options.</w:t>
      </w:r>
    </w:p>
    <w:p w:rsidR="00341A2D" w:rsidRPr="00341A2D" w:rsidRDefault="00341A2D" w:rsidP="00341A2D">
      <w:pPr>
        <w:ind w:firstLine="720"/>
        <w:jc w:val="both"/>
        <w:rPr>
          <w:rFonts w:ascii="Arial" w:hAnsi="Arial" w:cs="Arial"/>
        </w:rPr>
      </w:pPr>
      <w:r w:rsidRPr="00341A2D">
        <w:rPr>
          <w:rFonts w:ascii="Arial" w:hAnsi="Arial" w:cs="Arial"/>
        </w:rPr>
        <w:t>The value of managerial flexibility measured by with Real Options has a higher NPV proportion, which makes projects with tax incentives more attractive to investors; rather, it is not enough without incentives as the project continues to be financially rejected.</w:t>
      </w:r>
    </w:p>
    <w:p w:rsidR="00341A2D" w:rsidRPr="00341A2D" w:rsidRDefault="00341A2D" w:rsidP="00341A2D">
      <w:pPr>
        <w:ind w:firstLine="720"/>
        <w:jc w:val="both"/>
        <w:rPr>
          <w:rFonts w:ascii="Arial" w:hAnsi="Arial" w:cs="Arial"/>
        </w:rPr>
      </w:pPr>
      <w:r w:rsidRPr="00341A2D">
        <w:rPr>
          <w:rFonts w:ascii="Arial" w:hAnsi="Arial" w:cs="Arial"/>
        </w:rPr>
        <w:t>None of the evaluation methods are considered absolute. Regardless, there is need to search for alternative evaluation methods that contemplate uncertainty and flexibility in management as investment characteristics. Although Real Options is a difficult and uncommon method for companies, it is the most recent and appropriate to apply to uncertain issues. Therefore, if an analysis takes into account uncertainty over time and includes real options in the project, the decision-making process will be more realistic.</w:t>
      </w:r>
    </w:p>
    <w:p w:rsidR="00954DC0" w:rsidRPr="00341A2D" w:rsidRDefault="00341A2D" w:rsidP="00341A2D">
      <w:pPr>
        <w:ind w:firstLine="720"/>
        <w:jc w:val="both"/>
        <w:rPr>
          <w:rFonts w:ascii="Arial" w:hAnsi="Arial" w:cs="Arial"/>
          <w:lang w:val="id-ID"/>
        </w:rPr>
      </w:pPr>
      <w:r w:rsidRPr="00341A2D">
        <w:rPr>
          <w:rFonts w:ascii="Arial" w:hAnsi="Arial" w:cs="Arial"/>
        </w:rPr>
        <w:t>Literature review shows that, due to high levels of uncertainty, investment in energy projects are assessed. Yet, investment decisions should not be limited to now or never. In fact, a certain degree of flexibility in management must be included. Most studies that apply Real Options to energy generation projects from renewable sources consider prices as the variable of greatest uncertainty, and model it based on Geometric Brownian Movement, or with a process of mean reversion. The application is novel in this paper because a mean reversion process with peaks was applied, using this method of modeling the price of energy and the valuation by real options.</w:t>
      </w:r>
    </w:p>
    <w:p w:rsidR="004E2D16" w:rsidRDefault="004E2D16" w:rsidP="005F4EE8">
      <w:pPr>
        <w:rPr>
          <w:rStyle w:val="apple-style-span"/>
          <w:rFonts w:ascii="Arial" w:hAnsi="Arial" w:cs="Arial"/>
          <w:b/>
          <w:color w:val="000000"/>
          <w:lang w:val="pt-BR"/>
        </w:rPr>
      </w:pPr>
    </w:p>
    <w:p w:rsidR="005F4EE8" w:rsidRDefault="004E2D16" w:rsidP="005F4EE8">
      <w:pPr>
        <w:rPr>
          <w:rStyle w:val="apple-style-span"/>
          <w:rFonts w:ascii="Arial" w:hAnsi="Arial" w:cs="Arial"/>
          <w:b/>
          <w:color w:val="000000"/>
          <w:lang w:val="pt-BR"/>
        </w:rPr>
      </w:pPr>
      <w:r w:rsidRPr="00A063FF">
        <w:rPr>
          <w:rStyle w:val="apple-style-span"/>
          <w:rFonts w:ascii="Arial" w:hAnsi="Arial" w:cs="Arial"/>
          <w:b/>
          <w:color w:val="000000"/>
          <w:lang w:val="pt-BR"/>
        </w:rPr>
        <w:t>REFERENCES</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w:t>
      </w:r>
      <w:r w:rsidRPr="00341A2D">
        <w:rPr>
          <w:rFonts w:ascii="Arial" w:hAnsi="Arial" w:cs="Arial"/>
          <w:noProof/>
        </w:rPr>
        <w:tab/>
        <w:t xml:space="preserve">J. Contreras and Y. E. Rodríguez, “Incentives for wind power investment in Colombia,” </w:t>
      </w:r>
      <w:r w:rsidRPr="00341A2D">
        <w:rPr>
          <w:rFonts w:ascii="Arial" w:hAnsi="Arial" w:cs="Arial"/>
          <w:i/>
          <w:iCs/>
          <w:noProof/>
        </w:rPr>
        <w:t>Renew. Energy</w:t>
      </w:r>
      <w:r w:rsidRPr="00341A2D">
        <w:rPr>
          <w:rFonts w:ascii="Arial" w:hAnsi="Arial" w:cs="Arial"/>
          <w:noProof/>
        </w:rPr>
        <w:t>, vol. 87, no. March 2016, pp. 279–288, 2016.</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[2]</w:t>
      </w:r>
      <w:r w:rsidRPr="00341A2D">
        <w:rPr>
          <w:rFonts w:ascii="Arial" w:hAnsi="Arial" w:cs="Arial"/>
          <w:noProof/>
        </w:rPr>
        <w:tab/>
        <w:t xml:space="preserve">A. Gazheli and J. Van Den Bergh, “Real options analysis of investment in solar vs. wind energy: Diversification strategies under uncertain prices and costs,” </w:t>
      </w:r>
      <w:r w:rsidRPr="00341A2D">
        <w:rPr>
          <w:rFonts w:ascii="Arial" w:hAnsi="Arial" w:cs="Arial"/>
          <w:i/>
          <w:iCs/>
          <w:noProof/>
        </w:rPr>
        <w:t>Renew. Sustain. Energy Rev.</w:t>
      </w:r>
      <w:r w:rsidRPr="00341A2D">
        <w:rPr>
          <w:rFonts w:ascii="Arial" w:hAnsi="Arial" w:cs="Arial"/>
          <w:noProof/>
        </w:rPr>
        <w:t>, vol. 82, no. December 2017, pp. 2693–2704, 2018.</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lastRenderedPageBreak/>
        <w:t>[3]</w:t>
      </w:r>
      <w:r w:rsidRPr="00341A2D">
        <w:rPr>
          <w:rFonts w:ascii="Arial" w:hAnsi="Arial" w:cs="Arial"/>
          <w:noProof/>
        </w:rPr>
        <w:tab/>
        <w:t>S. Awerbuch and M. Berger, “Applying portfolio theory to E.U. electricity planning and policy-making,” 2003.</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[4]</w:t>
      </w:r>
      <w:r w:rsidRPr="00341A2D">
        <w:rPr>
          <w:rFonts w:ascii="Arial" w:hAnsi="Arial" w:cs="Arial"/>
          <w:noProof/>
        </w:rPr>
        <w:tab/>
        <w:t xml:space="preserve">J. Pless, D. J. Arent, J. Logan, J. Cochran, and O. Zinaman, “Quantifying the value of investing in distributed natural gas and renewable electricity systems as complements: Applications of discounted cash flow and real options analysis with stochastic inputs,” </w:t>
      </w:r>
      <w:r w:rsidRPr="00341A2D">
        <w:rPr>
          <w:rFonts w:ascii="Arial" w:hAnsi="Arial" w:cs="Arial"/>
          <w:i/>
          <w:iCs/>
          <w:noProof/>
        </w:rPr>
        <w:t>Energy Policy</w:t>
      </w:r>
      <w:r w:rsidRPr="00341A2D">
        <w:rPr>
          <w:rFonts w:ascii="Arial" w:hAnsi="Arial" w:cs="Arial"/>
          <w:noProof/>
        </w:rPr>
        <w:t>, vol. 97, no. October 2016, pp. 378–390, 2016.</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[5]</w:t>
      </w:r>
      <w:r w:rsidRPr="00341A2D">
        <w:rPr>
          <w:rFonts w:ascii="Arial" w:hAnsi="Arial" w:cs="Arial"/>
          <w:noProof/>
        </w:rPr>
        <w:tab/>
        <w:t xml:space="preserve">J. A. Schachter and P. Mancarella, “A critical review of Real Options thinking for valuing investment fl exibility in Smart Grids and low carbon energy systems,” </w:t>
      </w:r>
      <w:r w:rsidRPr="00341A2D">
        <w:rPr>
          <w:rFonts w:ascii="Arial" w:hAnsi="Arial" w:cs="Arial"/>
          <w:i/>
          <w:iCs/>
          <w:noProof/>
        </w:rPr>
        <w:t>Renew. Sustain. Energy Rev.</w:t>
      </w:r>
      <w:r w:rsidRPr="00341A2D">
        <w:rPr>
          <w:rFonts w:ascii="Arial" w:hAnsi="Arial" w:cs="Arial"/>
          <w:noProof/>
        </w:rPr>
        <w:t>, vol. 56, no. April 2016, pp. 261–271, 2016.</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[6]</w:t>
      </w:r>
      <w:r w:rsidRPr="00341A2D">
        <w:rPr>
          <w:rFonts w:ascii="Arial" w:hAnsi="Arial" w:cs="Arial"/>
          <w:noProof/>
        </w:rPr>
        <w:tab/>
        <w:t xml:space="preserve">B. Fernandes, J. Cunha, and P. Ferreira, “The use of real options approach in energy sector investments,” </w:t>
      </w:r>
      <w:r w:rsidRPr="00341A2D">
        <w:rPr>
          <w:rFonts w:ascii="Arial" w:hAnsi="Arial" w:cs="Arial"/>
          <w:i/>
          <w:iCs/>
          <w:noProof/>
        </w:rPr>
        <w:t>Renew. Sustain. Energy Rev.</w:t>
      </w:r>
      <w:r w:rsidRPr="00341A2D">
        <w:rPr>
          <w:rFonts w:ascii="Arial" w:hAnsi="Arial" w:cs="Arial"/>
          <w:noProof/>
        </w:rPr>
        <w:t>, vol. 15, no. 9, pp. 4491–4497, 2011.</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[7]</w:t>
      </w:r>
      <w:r w:rsidRPr="00341A2D">
        <w:rPr>
          <w:rFonts w:ascii="Arial" w:hAnsi="Arial" w:cs="Arial"/>
          <w:noProof/>
        </w:rPr>
        <w:tab/>
        <w:t xml:space="preserve">A. Ioannou, A. Angus, and F. Brennan, “Risk-based methods for sustainable energy system planning : A review,” </w:t>
      </w:r>
      <w:r w:rsidRPr="00341A2D">
        <w:rPr>
          <w:rFonts w:ascii="Arial" w:hAnsi="Arial" w:cs="Arial"/>
          <w:i/>
          <w:iCs/>
          <w:noProof/>
        </w:rPr>
        <w:t>Renew. Sustain. Energy Rev.</w:t>
      </w:r>
      <w:r w:rsidRPr="00341A2D">
        <w:rPr>
          <w:rFonts w:ascii="Arial" w:hAnsi="Arial" w:cs="Arial"/>
          <w:noProof/>
        </w:rPr>
        <w:t>, vol. 74, no. July 2016, pp. 602–615, 2017.</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[8]</w:t>
      </w:r>
      <w:r w:rsidRPr="00341A2D">
        <w:rPr>
          <w:rFonts w:ascii="Arial" w:hAnsi="Arial" w:cs="Arial"/>
          <w:noProof/>
        </w:rPr>
        <w:tab/>
        <w:t xml:space="preserve">K. Kim, H. Park, and H. Kim, “Real options analysis for renewable energy investment decisions in developing countries,” </w:t>
      </w:r>
      <w:r w:rsidRPr="00341A2D">
        <w:rPr>
          <w:rFonts w:ascii="Arial" w:hAnsi="Arial" w:cs="Arial"/>
          <w:i/>
          <w:iCs/>
          <w:noProof/>
        </w:rPr>
        <w:t>Renew. Sustain. Energy Rev.</w:t>
      </w:r>
      <w:r w:rsidRPr="00341A2D">
        <w:rPr>
          <w:rFonts w:ascii="Arial" w:hAnsi="Arial" w:cs="Arial"/>
          <w:noProof/>
        </w:rPr>
        <w:t>, vol. 75, no. August 2017, pp. 918–926, 2016.</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[9]</w:t>
      </w:r>
      <w:r w:rsidRPr="00341A2D">
        <w:rPr>
          <w:rFonts w:ascii="Arial" w:hAnsi="Arial" w:cs="Arial"/>
          <w:noProof/>
        </w:rPr>
        <w:tab/>
        <w:t xml:space="preserve">M. Kozlova, “Real option valuation in renewable energy literature: Research focus, trends and design,” </w:t>
      </w:r>
      <w:r w:rsidRPr="00341A2D">
        <w:rPr>
          <w:rFonts w:ascii="Arial" w:hAnsi="Arial" w:cs="Arial"/>
          <w:i/>
          <w:iCs/>
          <w:noProof/>
        </w:rPr>
        <w:t>Renew. Sustain. Energy Rev.</w:t>
      </w:r>
      <w:r w:rsidRPr="00341A2D">
        <w:rPr>
          <w:rFonts w:ascii="Arial" w:hAnsi="Arial" w:cs="Arial"/>
          <w:noProof/>
        </w:rPr>
        <w:t>, vol. 80, no. March, pp. 180–196, 2017.</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[10]</w:t>
      </w:r>
      <w:r w:rsidRPr="00341A2D">
        <w:rPr>
          <w:rFonts w:ascii="Arial" w:hAnsi="Arial" w:cs="Arial"/>
          <w:noProof/>
        </w:rPr>
        <w:tab/>
        <w:t xml:space="preserve">D. Loncar, I. Milovanovic, B. Rakic, and T. Radjenovic, “Compound real options valuation of renewable energy projects : The case of a wind farm in Serbia,” </w:t>
      </w:r>
      <w:r w:rsidRPr="00341A2D">
        <w:rPr>
          <w:rFonts w:ascii="Arial" w:hAnsi="Arial" w:cs="Arial"/>
          <w:i/>
          <w:iCs/>
          <w:noProof/>
        </w:rPr>
        <w:t>Renew. Sustain. Energy Rev.</w:t>
      </w:r>
      <w:r w:rsidRPr="00341A2D">
        <w:rPr>
          <w:rFonts w:ascii="Arial" w:hAnsi="Arial" w:cs="Arial"/>
          <w:noProof/>
        </w:rPr>
        <w:t>, vol. 75, no. November 2015, pp. 354–367, 2017.</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[11]</w:t>
      </w:r>
      <w:r w:rsidRPr="00341A2D">
        <w:rPr>
          <w:rFonts w:ascii="Arial" w:hAnsi="Arial" w:cs="Arial"/>
          <w:noProof/>
        </w:rPr>
        <w:tab/>
        <w:t xml:space="preserve">E. A. Martínez Ceseña, J. Mutale, and F. Rivas-Dávalos, “Real options theory applied to electricity generation projects: A review,” </w:t>
      </w:r>
      <w:r w:rsidRPr="00341A2D">
        <w:rPr>
          <w:rFonts w:ascii="Arial" w:hAnsi="Arial" w:cs="Arial"/>
          <w:i/>
          <w:iCs/>
          <w:noProof/>
        </w:rPr>
        <w:t>Renew. Sustain. Energy Rev.</w:t>
      </w:r>
      <w:r w:rsidRPr="00341A2D">
        <w:rPr>
          <w:rFonts w:ascii="Arial" w:hAnsi="Arial" w:cs="Arial"/>
          <w:noProof/>
        </w:rPr>
        <w:t>, vol. 19, no. March 2013, pp. 573–581, 2013.</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[12]</w:t>
      </w:r>
      <w:r w:rsidRPr="00341A2D">
        <w:rPr>
          <w:rFonts w:ascii="Arial" w:hAnsi="Arial" w:cs="Arial"/>
          <w:noProof/>
        </w:rPr>
        <w:tab/>
        <w:t xml:space="preserve">M. Zhang, D. Zhou, and P. Zhou, “A real option model for renewable energy policy evaluation with application to solar PV power generation in China,” </w:t>
      </w:r>
      <w:r w:rsidRPr="00341A2D">
        <w:rPr>
          <w:rFonts w:ascii="Arial" w:hAnsi="Arial" w:cs="Arial"/>
          <w:i/>
          <w:iCs/>
          <w:noProof/>
        </w:rPr>
        <w:t>Renew. Sustain. Energy Rev.</w:t>
      </w:r>
      <w:r w:rsidRPr="00341A2D">
        <w:rPr>
          <w:rFonts w:ascii="Arial" w:hAnsi="Arial" w:cs="Arial"/>
          <w:noProof/>
        </w:rPr>
        <w:t>, vol. 40, no. December 2014, pp. 944–955, 2014.</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[13]</w:t>
      </w:r>
      <w:r w:rsidRPr="00341A2D">
        <w:rPr>
          <w:rFonts w:ascii="Arial" w:hAnsi="Arial" w:cs="Arial"/>
          <w:noProof/>
        </w:rPr>
        <w:tab/>
        <w:t xml:space="preserve">M. M. Zhang, D. Q. Zhou, P. Zhou, and H. T. Chen, “Optimal design of subsidy to stimulate renewable energy investments : The case of China,” </w:t>
      </w:r>
      <w:r w:rsidRPr="00341A2D">
        <w:rPr>
          <w:rFonts w:ascii="Arial" w:hAnsi="Arial" w:cs="Arial"/>
          <w:i/>
          <w:iCs/>
          <w:noProof/>
        </w:rPr>
        <w:t>Renew. Sustain. Energy Rev.</w:t>
      </w:r>
      <w:r w:rsidRPr="00341A2D">
        <w:rPr>
          <w:rFonts w:ascii="Arial" w:hAnsi="Arial" w:cs="Arial"/>
          <w:noProof/>
        </w:rPr>
        <w:t>, vol. 71, no. November 2015, pp. 873–883, 2017.</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[14]</w:t>
      </w:r>
      <w:r w:rsidRPr="00341A2D">
        <w:rPr>
          <w:rFonts w:ascii="Arial" w:hAnsi="Arial" w:cs="Arial"/>
          <w:noProof/>
        </w:rPr>
        <w:tab/>
        <w:t xml:space="preserve">A. Menegaki, “Valuation for renewable energy: A comparative review,” </w:t>
      </w:r>
      <w:r w:rsidRPr="00341A2D">
        <w:rPr>
          <w:rFonts w:ascii="Arial" w:hAnsi="Arial" w:cs="Arial"/>
          <w:i/>
          <w:iCs/>
          <w:noProof/>
        </w:rPr>
        <w:t>Renew. Sustain. Energy Rev.</w:t>
      </w:r>
      <w:r w:rsidRPr="00341A2D">
        <w:rPr>
          <w:rFonts w:ascii="Arial" w:hAnsi="Arial" w:cs="Arial"/>
          <w:noProof/>
        </w:rPr>
        <w:t>, vol. 12, no. 9, pp. 2422–2437, 2008.</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[15]</w:t>
      </w:r>
      <w:r w:rsidRPr="00341A2D">
        <w:rPr>
          <w:rFonts w:ascii="Arial" w:hAnsi="Arial" w:cs="Arial"/>
          <w:noProof/>
        </w:rPr>
        <w:tab/>
        <w:t xml:space="preserve">E. a Martinez-Cesena and J. Mutale, “Wind Power Projects Planning Considering Real Options for the Wind Resource Assessment,” </w:t>
      </w:r>
      <w:r w:rsidRPr="00341A2D">
        <w:rPr>
          <w:rFonts w:ascii="Arial" w:hAnsi="Arial" w:cs="Arial"/>
          <w:i/>
          <w:iCs/>
          <w:noProof/>
        </w:rPr>
        <w:t>Sustain. Energy, IEEE Trans.</w:t>
      </w:r>
      <w:r w:rsidRPr="00341A2D">
        <w:rPr>
          <w:rFonts w:ascii="Arial" w:hAnsi="Arial" w:cs="Arial"/>
          <w:noProof/>
        </w:rPr>
        <w:t>, vol. 3, no. 1, pp. 158–166, 2012.</w:t>
      </w:r>
    </w:p>
    <w:p w:rsidR="00341A2D" w:rsidRPr="00341A2D" w:rsidRDefault="00341A2D" w:rsidP="00341A2D">
      <w:pPr>
        <w:ind w:left="640" w:hanging="640"/>
        <w:rPr>
          <w:rFonts w:ascii="Arial" w:hAnsi="Arial" w:cs="Arial"/>
          <w:noProof/>
        </w:rPr>
      </w:pPr>
      <w:r w:rsidRPr="00341A2D">
        <w:rPr>
          <w:rFonts w:ascii="Arial" w:hAnsi="Arial" w:cs="Arial"/>
          <w:noProof/>
        </w:rPr>
        <w:t>[16]</w:t>
      </w:r>
      <w:r w:rsidRPr="00341A2D">
        <w:rPr>
          <w:rFonts w:ascii="Arial" w:hAnsi="Arial" w:cs="Arial"/>
          <w:noProof/>
        </w:rPr>
        <w:tab/>
        <w:t xml:space="preserve">S.-C. Lee, “Using real option analysis for highly uncertain technology investments: The case of wind energy technology,” </w:t>
      </w:r>
      <w:r w:rsidRPr="00341A2D">
        <w:rPr>
          <w:rFonts w:ascii="Arial" w:hAnsi="Arial" w:cs="Arial"/>
          <w:i/>
          <w:iCs/>
          <w:noProof/>
        </w:rPr>
        <w:t>Renew. Sustain. Energy Rev.</w:t>
      </w:r>
      <w:r w:rsidRPr="00341A2D">
        <w:rPr>
          <w:rFonts w:ascii="Arial" w:hAnsi="Arial" w:cs="Arial"/>
          <w:noProof/>
        </w:rPr>
        <w:t>, vol. 15, no. 9, pp. 4443–4450, 2011.</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[17]</w:t>
      </w:r>
      <w:r w:rsidRPr="00341A2D">
        <w:rPr>
          <w:rFonts w:ascii="Arial" w:hAnsi="Arial" w:cs="Arial"/>
          <w:noProof/>
        </w:rPr>
        <w:tab/>
        <w:t xml:space="preserve">K. T. Kim, D. J. Lee, and S. J. Park, “Evaluation of R&amp;D investments in wind power in Korea using real option,” </w:t>
      </w:r>
      <w:r w:rsidRPr="00341A2D">
        <w:rPr>
          <w:rFonts w:ascii="Arial" w:hAnsi="Arial" w:cs="Arial"/>
          <w:i/>
          <w:iCs/>
          <w:noProof/>
        </w:rPr>
        <w:t>Renew. Sustain. Energy Rev.</w:t>
      </w:r>
      <w:r w:rsidRPr="00341A2D">
        <w:rPr>
          <w:rFonts w:ascii="Arial" w:hAnsi="Arial" w:cs="Arial"/>
          <w:noProof/>
        </w:rPr>
        <w:t>, vol. 40, no. December 2014, pp. 335–347, 2014.</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[18]</w:t>
      </w:r>
      <w:r w:rsidRPr="00341A2D">
        <w:rPr>
          <w:rFonts w:ascii="Arial" w:hAnsi="Arial" w:cs="Arial"/>
          <w:noProof/>
        </w:rPr>
        <w:tab/>
        <w:t xml:space="preserve">A. Pinilla, L. Rodriguez, and R. Trujillo, “Performance evaluation of Jepirachi Wind Park,” </w:t>
      </w:r>
      <w:r w:rsidRPr="00341A2D">
        <w:rPr>
          <w:rFonts w:ascii="Arial" w:hAnsi="Arial" w:cs="Arial"/>
          <w:i/>
          <w:iCs/>
          <w:noProof/>
        </w:rPr>
        <w:t>Renew. Energy</w:t>
      </w:r>
      <w:r w:rsidRPr="00341A2D">
        <w:rPr>
          <w:rFonts w:ascii="Arial" w:hAnsi="Arial" w:cs="Arial"/>
          <w:noProof/>
        </w:rPr>
        <w:t>, vol. 34, no. 1, pp. 48–52, 2009.</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[19]</w:t>
      </w:r>
      <w:r w:rsidRPr="00341A2D">
        <w:rPr>
          <w:rFonts w:ascii="Arial" w:hAnsi="Arial" w:cs="Arial"/>
          <w:noProof/>
        </w:rPr>
        <w:tab/>
        <w:t>IRENA, “Wind power,” 2019. [Online]. Available: https://www.irena.org/costs/Power-Generation-Costs/Wind-Power.</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[20]</w:t>
      </w:r>
      <w:r w:rsidRPr="00341A2D">
        <w:rPr>
          <w:rFonts w:ascii="Arial" w:hAnsi="Arial" w:cs="Arial"/>
          <w:noProof/>
        </w:rPr>
        <w:tab/>
        <w:t xml:space="preserve">B. M. Lambrecht, “Real options in finance,” </w:t>
      </w:r>
      <w:r w:rsidRPr="00341A2D">
        <w:rPr>
          <w:rFonts w:ascii="Arial" w:hAnsi="Arial" w:cs="Arial"/>
          <w:i/>
          <w:iCs/>
          <w:noProof/>
        </w:rPr>
        <w:t>J. Bank. Financ.</w:t>
      </w:r>
      <w:r w:rsidRPr="00341A2D">
        <w:rPr>
          <w:rFonts w:ascii="Arial" w:hAnsi="Arial" w:cs="Arial"/>
          <w:noProof/>
        </w:rPr>
        <w:t>, vol. 81, no. August 2017, pp. 166–171, 2017.</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[21]</w:t>
      </w:r>
      <w:r w:rsidRPr="00341A2D">
        <w:rPr>
          <w:rFonts w:ascii="Arial" w:hAnsi="Arial" w:cs="Arial"/>
          <w:noProof/>
        </w:rPr>
        <w:tab/>
        <w:t xml:space="preserve">M. Čulík, “Real options valuation with changing volatility,” </w:t>
      </w:r>
      <w:r w:rsidRPr="00341A2D">
        <w:rPr>
          <w:rFonts w:ascii="Arial" w:hAnsi="Arial" w:cs="Arial"/>
          <w:i/>
          <w:iCs/>
          <w:noProof/>
        </w:rPr>
        <w:t>Perspect. Sci.</w:t>
      </w:r>
      <w:r w:rsidRPr="00341A2D">
        <w:rPr>
          <w:rFonts w:ascii="Arial" w:hAnsi="Arial" w:cs="Arial"/>
          <w:noProof/>
        </w:rPr>
        <w:t>, vol. 7, no. March 2016, pp. 10–18, 2016.</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[22]</w:t>
      </w:r>
      <w:r w:rsidRPr="00341A2D">
        <w:rPr>
          <w:rFonts w:ascii="Arial" w:hAnsi="Arial" w:cs="Arial"/>
          <w:noProof/>
        </w:rPr>
        <w:tab/>
        <w:t xml:space="preserve">K. Guo, L. Zhang, and T. Wang, “Optimal scheme in energy performance contracting under uncertainty: A real option perspective,” </w:t>
      </w:r>
      <w:r w:rsidRPr="00341A2D">
        <w:rPr>
          <w:rFonts w:ascii="Arial" w:hAnsi="Arial" w:cs="Arial"/>
          <w:i/>
          <w:iCs/>
          <w:noProof/>
        </w:rPr>
        <w:t>J. Clean. Prod.</w:t>
      </w:r>
      <w:r w:rsidRPr="00341A2D">
        <w:rPr>
          <w:rFonts w:ascii="Arial" w:hAnsi="Arial" w:cs="Arial"/>
          <w:noProof/>
        </w:rPr>
        <w:t>, vol. 231, no. 10 September 2019, pp. 240–253, 2019.</w:t>
      </w:r>
    </w:p>
    <w:p w:rsidR="00341A2D" w:rsidRPr="00341A2D" w:rsidRDefault="00341A2D" w:rsidP="00341A2D">
      <w:pPr>
        <w:widowControl w:val="0"/>
        <w:autoSpaceDE w:val="0"/>
        <w:autoSpaceDN w:val="0"/>
        <w:adjustRightInd w:val="0"/>
        <w:ind w:left="640" w:hanging="640"/>
        <w:rPr>
          <w:rFonts w:ascii="Arial" w:hAnsi="Arial" w:cs="Arial"/>
          <w:noProof/>
        </w:rPr>
      </w:pPr>
      <w:r w:rsidRPr="00341A2D">
        <w:rPr>
          <w:rFonts w:ascii="Arial" w:hAnsi="Arial" w:cs="Arial"/>
          <w:noProof/>
        </w:rPr>
        <w:t>[23]</w:t>
      </w:r>
      <w:r w:rsidRPr="00341A2D">
        <w:rPr>
          <w:rFonts w:ascii="Arial" w:hAnsi="Arial" w:cs="Arial"/>
          <w:noProof/>
        </w:rPr>
        <w:tab/>
        <w:t xml:space="preserve">J. Mascareñas, P. Lamothe, F. López Lubian, and W. De Luna, </w:t>
      </w:r>
      <w:r w:rsidRPr="00341A2D">
        <w:rPr>
          <w:rFonts w:ascii="Arial" w:hAnsi="Arial" w:cs="Arial"/>
          <w:i/>
          <w:iCs/>
          <w:noProof/>
        </w:rPr>
        <w:t>Opciones reales y valoración de activos</w:t>
      </w:r>
      <w:r w:rsidRPr="00341A2D">
        <w:rPr>
          <w:rFonts w:ascii="Arial" w:hAnsi="Arial" w:cs="Arial"/>
          <w:noProof/>
        </w:rPr>
        <w:t>. Madrid: Prentice Hall, 2004.</w:t>
      </w:r>
    </w:p>
    <w:p w:rsidR="00341A2D" w:rsidRDefault="00341A2D" w:rsidP="00341A2D">
      <w:pPr>
        <w:rPr>
          <w:rStyle w:val="apple-style-span"/>
          <w:rFonts w:ascii="Arial" w:hAnsi="Arial" w:cs="Arial"/>
          <w:b/>
          <w:color w:val="000000"/>
          <w:lang w:val="pt-BR"/>
        </w:rPr>
      </w:pPr>
    </w:p>
    <w:sectPr w:rsidR="00341A2D" w:rsidSect="007D2DFE">
      <w:headerReference w:type="even" r:id="rId15"/>
      <w:headerReference w:type="default" r:id="rId16"/>
      <w:footerReference w:type="even" r:id="rId17"/>
      <w:footerReference w:type="default" r:id="rId18"/>
      <w:headerReference w:type="first" r:id="rId19"/>
      <w:footerReference w:type="first" r:id="rId20"/>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86F" w:rsidRDefault="00BB186F">
      <w:r>
        <w:separator/>
      </w:r>
    </w:p>
  </w:endnote>
  <w:endnote w:type="continuationSeparator" w:id="0">
    <w:p w:rsidR="00BB186F" w:rsidRDefault="00BB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3E3C53" w:rsidRDefault="0022411F" w:rsidP="008B04B3">
    <w:pPr>
      <w:pStyle w:val="Encabezado"/>
      <w:tabs>
        <w:tab w:val="clear" w:pos="4320"/>
        <w:tab w:val="clear" w:pos="8640"/>
        <w:tab w:val="left" w:pos="2992"/>
      </w:tabs>
      <w:ind w:right="90"/>
      <w:rPr>
        <w:rFonts w:ascii="Arial" w:hAnsi="Arial" w:cs="Arial"/>
      </w:rPr>
    </w:pPr>
    <w:r>
      <w:rPr>
        <w:rFonts w:ascii="Arial" w:hAnsi="Arial" w:cs="Arial"/>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FE90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F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h6CJ0ZjCshoFYbG2qjR/VqnjX97pDSdUfUjkeGbycDaVnISN6lhI0zgL8dvmgGMWTvdWzT&#10;sbV9gIQGoGNU43RTgx89onA4KaZ5/gi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PbG&#10;MUkTAgAAKAQAAA4AAAAAAAAAAAAAAAAALgIAAGRycy9lMm9Eb2MueG1sUEsBAi0AFAAGAAgAAAAh&#10;APbatCLdAAAACAEAAA8AAAAAAAAAAAAAAAAAbQQAAGRycy9kb3ducmV2LnhtbFBLBQYAAAAABAAE&#10;APMAAAB3BQAAAAA=&#10;"/>
          </w:pict>
        </mc:Fallback>
      </mc:AlternateContent>
    </w:r>
    <w:r w:rsidR="00B0540B" w:rsidRPr="00B0540B">
      <w:rPr>
        <w:rFonts w:ascii="Arial Narrow" w:hAnsi="Arial Narrow" w:cs="Arial"/>
        <w:lang w:val="it-IT"/>
      </w:rPr>
      <w:t xml:space="preserve"> </w:t>
    </w:r>
    <w:r w:rsidR="0006256E">
      <w:rPr>
        <w:rFonts w:ascii="Arial" w:hAnsi="Arial" w:cs="Arial"/>
        <w:b/>
      </w:rPr>
      <w:t>IJEECS</w:t>
    </w:r>
    <w:r w:rsidR="000213C3" w:rsidRPr="008B04B3">
      <w:rPr>
        <w:rFonts w:ascii="Arial" w:hAnsi="Arial" w:cs="Arial"/>
        <w:b/>
      </w:rPr>
      <w:t xml:space="preserve"> </w:t>
    </w:r>
    <w:r w:rsidR="000213C3">
      <w:rPr>
        <w:rFonts w:ascii="Arial" w:hAnsi="Arial" w:cs="Arial"/>
      </w:rPr>
      <w:t xml:space="preserve">Vol. </w:t>
    </w:r>
    <w:r w:rsidR="006005D4">
      <w:rPr>
        <w:rFonts w:ascii="Arial" w:hAnsi="Arial" w:cs="Arial"/>
      </w:rPr>
      <w:t>5</w:t>
    </w:r>
    <w:r w:rsidR="000213C3" w:rsidRPr="008B04B3">
      <w:rPr>
        <w:rFonts w:ascii="Arial" w:hAnsi="Arial" w:cs="Arial"/>
      </w:rPr>
      <w:t xml:space="preserve">, </w:t>
    </w:r>
    <w:r w:rsidR="000213C3">
      <w:rPr>
        <w:rFonts w:ascii="Arial" w:hAnsi="Arial" w:cs="Arial"/>
      </w:rPr>
      <w:t xml:space="preserve">No. </w:t>
    </w:r>
    <w:r w:rsidR="00364F40">
      <w:rPr>
        <w:rFonts w:ascii="Arial" w:hAnsi="Arial" w:cs="Arial"/>
      </w:rPr>
      <w:t>3</w:t>
    </w:r>
    <w:r w:rsidR="007E2440">
      <w:rPr>
        <w:rFonts w:ascii="Arial" w:hAnsi="Arial" w:cs="Arial"/>
      </w:rPr>
      <w:t xml:space="preserve">, </w:t>
    </w:r>
    <w:r w:rsidR="00364F40">
      <w:rPr>
        <w:rFonts w:ascii="Arial" w:hAnsi="Arial" w:cs="Arial"/>
      </w:rPr>
      <w:t>March</w:t>
    </w:r>
    <w:r w:rsidR="007E2440">
      <w:rPr>
        <w:rFonts w:ascii="Arial" w:hAnsi="Arial" w:cs="Arial"/>
      </w:rPr>
      <w:t xml:space="preserve"> 201</w:t>
    </w:r>
    <w:r w:rsidR="006005D4">
      <w:rPr>
        <w:rFonts w:ascii="Arial" w:hAnsi="Arial" w:cs="Arial"/>
      </w:rPr>
      <w:t>7</w:t>
    </w:r>
    <w:r w:rsidR="007E2440">
      <w:rPr>
        <w:rFonts w:ascii="Arial" w:hAnsi="Arial" w:cs="Arial"/>
      </w:rPr>
      <w:t xml:space="preserve"> </w:t>
    </w:r>
    <w:r w:rsidR="000213C3" w:rsidRPr="008B04B3">
      <w:rPr>
        <w:rFonts w:ascii="Arial" w:hAnsi="Arial" w:cs="Arial"/>
      </w:rPr>
      <w:t xml:space="preserve">:  </w:t>
    </w:r>
    <w:r w:rsidR="000213C3">
      <w:rPr>
        <w:rFonts w:ascii="Arial" w:hAnsi="Arial" w:cs="Arial"/>
      </w:rPr>
      <w:t>xxx – 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94A99" w:rsidRDefault="00EE10AE" w:rsidP="0094367D">
    <w:pPr>
      <w:pStyle w:val="Piedepgina"/>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75769A" w:rsidRDefault="006917F6" w:rsidP="0075769A">
    <w:pPr>
      <w:pStyle w:val="Piedepgina"/>
      <w:pBdr>
        <w:top w:val="single" w:sz="4" w:space="1" w:color="auto"/>
      </w:pBdr>
      <w:rPr>
        <w:rFonts w:ascii="Arial" w:hAnsi="Arial" w:cs="Arial"/>
        <w:i/>
        <w:szCs w:val="18"/>
      </w:rPr>
    </w:pPr>
    <w:r w:rsidRPr="0075769A">
      <w:rPr>
        <w:rFonts w:ascii="Arial" w:hAnsi="Arial" w:cs="Arial"/>
        <w:i/>
        <w:szCs w:val="18"/>
      </w:rPr>
      <w:t xml:space="preserve">Received </w:t>
    </w:r>
    <w:r w:rsidR="006005D4">
      <w:rPr>
        <w:rFonts w:ascii="Arial" w:hAnsi="Arial" w:cs="Arial"/>
        <w:i/>
        <w:szCs w:val="18"/>
      </w:rPr>
      <w:t>September</w:t>
    </w:r>
    <w:r w:rsidR="000A2468">
      <w:rPr>
        <w:rFonts w:ascii="Arial" w:hAnsi="Arial" w:cs="Arial"/>
        <w:i/>
        <w:szCs w:val="18"/>
      </w:rPr>
      <w:t xml:space="preserve"> </w:t>
    </w:r>
    <w:r w:rsidR="006005D4">
      <w:rPr>
        <w:rFonts w:ascii="Arial" w:hAnsi="Arial" w:cs="Arial"/>
        <w:i/>
        <w:szCs w:val="18"/>
      </w:rPr>
      <w:t>2</w:t>
    </w:r>
    <w:r w:rsidRPr="0075769A">
      <w:rPr>
        <w:rFonts w:ascii="Arial" w:hAnsi="Arial" w:cs="Arial"/>
        <w:i/>
        <w:szCs w:val="18"/>
      </w:rPr>
      <w:t>, 201</w:t>
    </w:r>
    <w:r w:rsidR="000F1297">
      <w:rPr>
        <w:rFonts w:ascii="Arial" w:hAnsi="Arial" w:cs="Arial"/>
        <w:i/>
        <w:szCs w:val="18"/>
      </w:rPr>
      <w:t>6</w:t>
    </w:r>
    <w:r w:rsidRPr="0075769A">
      <w:rPr>
        <w:rFonts w:ascii="Arial" w:hAnsi="Arial" w:cs="Arial"/>
        <w:i/>
        <w:szCs w:val="18"/>
      </w:rPr>
      <w:t xml:space="preserve">; Revised </w:t>
    </w:r>
    <w:r w:rsidR="006005D4">
      <w:rPr>
        <w:rFonts w:ascii="Arial" w:hAnsi="Arial" w:cs="Arial"/>
        <w:i/>
        <w:szCs w:val="18"/>
      </w:rPr>
      <w:t xml:space="preserve">December </w:t>
    </w:r>
    <w:r w:rsidR="001A2D45">
      <w:rPr>
        <w:rFonts w:ascii="Arial" w:hAnsi="Arial" w:cs="Arial"/>
        <w:i/>
        <w:szCs w:val="18"/>
      </w:rPr>
      <w:t>2</w:t>
    </w:r>
    <w:r w:rsidR="006005D4">
      <w:rPr>
        <w:rFonts w:ascii="Arial" w:hAnsi="Arial" w:cs="Arial"/>
        <w:i/>
        <w:szCs w:val="18"/>
      </w:rPr>
      <w:t>5</w:t>
    </w:r>
    <w:r w:rsidR="00ED7476">
      <w:rPr>
        <w:rFonts w:ascii="Arial" w:hAnsi="Arial" w:cs="Arial"/>
        <w:i/>
        <w:szCs w:val="18"/>
      </w:rPr>
      <w:t>,</w:t>
    </w:r>
    <w:r w:rsidRPr="0075769A">
      <w:rPr>
        <w:rFonts w:ascii="Arial" w:hAnsi="Arial" w:cs="Arial"/>
        <w:i/>
        <w:szCs w:val="18"/>
      </w:rPr>
      <w:t xml:space="preserve"> 201</w:t>
    </w:r>
    <w:r w:rsidR="0032082B">
      <w:rPr>
        <w:rFonts w:ascii="Arial" w:hAnsi="Arial" w:cs="Arial"/>
        <w:i/>
        <w:szCs w:val="18"/>
      </w:rPr>
      <w:t>6</w:t>
    </w:r>
    <w:r w:rsidRPr="0075769A">
      <w:rPr>
        <w:rFonts w:ascii="Arial" w:hAnsi="Arial" w:cs="Arial"/>
        <w:i/>
        <w:szCs w:val="18"/>
      </w:rPr>
      <w:t xml:space="preserve">; Accepted </w:t>
    </w:r>
    <w:r w:rsidR="006005D4">
      <w:rPr>
        <w:rFonts w:ascii="Arial" w:hAnsi="Arial" w:cs="Arial"/>
        <w:i/>
        <w:szCs w:val="18"/>
      </w:rPr>
      <w:t>January</w:t>
    </w:r>
    <w:r w:rsidR="0084657F">
      <w:rPr>
        <w:rFonts w:ascii="Arial" w:hAnsi="Arial" w:cs="Arial"/>
        <w:i/>
        <w:szCs w:val="18"/>
      </w:rPr>
      <w:t xml:space="preserve"> </w:t>
    </w:r>
    <w:r w:rsidR="0032082B">
      <w:rPr>
        <w:rFonts w:ascii="Arial" w:hAnsi="Arial" w:cs="Arial"/>
        <w:i/>
        <w:szCs w:val="18"/>
      </w:rPr>
      <w:t>1</w:t>
    </w:r>
    <w:r w:rsidR="0084657F">
      <w:rPr>
        <w:rFonts w:ascii="Arial" w:hAnsi="Arial" w:cs="Arial"/>
        <w:i/>
        <w:szCs w:val="18"/>
      </w:rPr>
      <w:t>1</w:t>
    </w:r>
    <w:r>
      <w:rPr>
        <w:rFonts w:ascii="Arial" w:hAnsi="Arial" w:cs="Arial"/>
        <w:i/>
        <w:szCs w:val="18"/>
      </w:rPr>
      <w:t>, 201</w:t>
    </w:r>
    <w:r w:rsidR="006005D4">
      <w:rPr>
        <w:rFonts w:ascii="Arial" w:hAnsi="Arial" w:cs="Arial"/>
        <w:i/>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86F" w:rsidRDefault="00BB186F">
      <w:r>
        <w:separator/>
      </w:r>
    </w:p>
  </w:footnote>
  <w:footnote w:type="continuationSeparator" w:id="0">
    <w:p w:rsidR="00BB186F" w:rsidRDefault="00BB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8B04B3" w:rsidRDefault="00694C9A" w:rsidP="008B04B3">
    <w:pPr>
      <w:pStyle w:val="Encabezado"/>
      <w:framePr w:wrap="around" w:vAnchor="text" w:hAnchor="margin" w:xAlign="outside" w:y="1"/>
      <w:rPr>
        <w:rStyle w:val="Nmerodepgina"/>
        <w:rFonts w:ascii="Arial" w:hAnsi="Arial" w:cs="Arial"/>
      </w:rPr>
    </w:pPr>
    <w:r w:rsidRPr="008B04B3">
      <w:rPr>
        <w:rStyle w:val="Nmerodepgina"/>
        <w:rFonts w:ascii="Arial" w:hAnsi="Arial" w:cs="Arial"/>
      </w:rPr>
      <w:fldChar w:fldCharType="begin"/>
    </w:r>
    <w:r w:rsidR="00097958" w:rsidRPr="008B04B3">
      <w:rPr>
        <w:rStyle w:val="Nmerodepgina"/>
        <w:rFonts w:ascii="Arial" w:hAnsi="Arial" w:cs="Arial"/>
      </w:rPr>
      <w:instrText xml:space="preserve">PAGE  </w:instrText>
    </w:r>
    <w:r w:rsidRPr="008B04B3">
      <w:rPr>
        <w:rStyle w:val="Nmerodepgina"/>
        <w:rFonts w:ascii="Arial" w:hAnsi="Arial" w:cs="Arial"/>
      </w:rPr>
      <w:fldChar w:fldCharType="separate"/>
    </w:r>
    <w:r w:rsidR="00427538">
      <w:rPr>
        <w:rStyle w:val="Nmerodepgina"/>
        <w:rFonts w:ascii="Arial" w:hAnsi="Arial" w:cs="Arial"/>
        <w:noProof/>
      </w:rPr>
      <w:t>402</w:t>
    </w:r>
    <w:r w:rsidRPr="008B04B3">
      <w:rPr>
        <w:rStyle w:val="Nmerodepgina"/>
        <w:rFonts w:ascii="Arial" w:hAnsi="Arial" w:cs="Arial"/>
      </w:rPr>
      <w:fldChar w:fldCharType="end"/>
    </w:r>
  </w:p>
  <w:p w:rsidR="00097958" w:rsidRPr="008B04B3" w:rsidRDefault="0022411F" w:rsidP="0075769A">
    <w:pPr>
      <w:pStyle w:val="Encabezado"/>
      <w:tabs>
        <w:tab w:val="clear" w:pos="4320"/>
        <w:tab w:val="clear" w:pos="8640"/>
        <w:tab w:val="left" w:pos="2992"/>
        <w:tab w:val="right" w:pos="8505"/>
      </w:tabs>
    </w:pPr>
    <w:r>
      <w:rPr>
        <w:rFonts w:ascii="Arial" w:hAnsi="Arial" w:cs="Arial"/>
        <w:b/>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BB97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mX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eTYprnTyAaHXwJKYdEY53/xHWHglFhCZwjMDltnQ9ESDmEhHuU3ggp&#10;o9hSob7C80k+iQlOS8GCM4Q5e9ivpEUnEsYlfrEq8DyGWX1ULIK1nLD1zfZEyKsNl0sV8KAUoHOz&#10;rvPwY57O17P1rBgV+XQ9KtK6Hn3crIrRdJM9TeoP9WpVZz8DtawoW8EYV4HdMJtZ8Xfa317Jdaru&#10;03lvQ/IWPfYLyA7/SDpqGeS7DsJes8vODhrDOMbg29MJ8/64B/vxgS9/AQ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3nDZ&#10;lxICAAAoBAAADgAAAAAAAAAAAAAAAAAuAgAAZHJzL2Uyb0RvYy54bWxQSwECLQAUAAYACAAAACEA&#10;tVOcYt0AAAAIAQAADwAAAAAAAAAAAAAAAABsBAAAZHJzL2Rvd25yZXYueG1sUEsFBgAAAAAEAAQA&#10;8wAAAHYFAAAAAA==&#10;"/>
          </w:pict>
        </mc:Fallback>
      </mc:AlternateContent>
    </w:r>
    <w:r>
      <w:rPr>
        <w:rFonts w:ascii="Arial" w:hAnsi="Arial" w:cs="Arial"/>
        <w:b/>
        <w:noProof/>
        <w:lang w:val="es-CO" w:eastAsia="es-CO"/>
      </w:rPr>
      <mc:AlternateContent>
        <mc:Choice Requires="wps">
          <w:drawing>
            <wp:anchor distT="0" distB="0" distL="114300" distR="114300" simplePos="0" relativeHeight="251660800"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0DA4E"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3i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i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73bd&#10;4hICAAAoBAAADgAAAAAAAAAAAAAAAAAuAgAAZHJzL2Uyb0RvYy54bWxQSwECLQAUAAYACAAAACEA&#10;tVOcYt0AAAAIAQAADwAAAAAAAAAAAAAAAABsBAAAZHJzL2Rvd25yZXYueG1sUEsFBgAAAAAEAAQA&#10;8wAAAHYFAAAAAA==&#10;"/>
          </w:pict>
        </mc:Fallback>
      </mc:AlternateContent>
    </w:r>
    <w:r w:rsidR="000213C3">
      <w:t xml:space="preserve">           </w:t>
    </w:r>
    <w:r w:rsidR="000213C3">
      <w:sym w:font="Wingdings" w:char="F06E"/>
    </w:r>
    <w:r w:rsidR="000213C3">
      <w:tab/>
      <w:t xml:space="preserve"> </w:t>
    </w:r>
    <w:r w:rsidR="000213C3">
      <w:tab/>
      <w:t xml:space="preserve"> </w:t>
    </w:r>
    <w:r w:rsidR="000213C3" w:rsidRPr="008B04B3">
      <w:t xml:space="preserve">      </w:t>
    </w:r>
    <w:r w:rsidR="000213C3" w:rsidRPr="00820D25">
      <w:rPr>
        <w:rFonts w:ascii="Arial" w:hAnsi="Arial" w:cs="Arial"/>
      </w:rPr>
      <w:t xml:space="preserve">ISSN: </w:t>
    </w:r>
    <w:r w:rsidR="0006256E" w:rsidRPr="0006256E">
      <w:rPr>
        <w:rFonts w:ascii="Arial" w:hAnsi="Arial" w:cs="Arial"/>
      </w:rPr>
      <w:t>2502-4752</w:t>
    </w:r>
    <w:r w:rsidR="00097958">
      <w:tab/>
      <w:t xml:space="preserve"> </w:t>
    </w:r>
    <w:r w:rsidR="00097958">
      <w:tab/>
      <w:t xml:space="preserve"> </w:t>
    </w:r>
    <w:r w:rsidR="00097958" w:rsidRPr="008B04B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E474DC" w:rsidRDefault="00694C9A" w:rsidP="00F173DD">
    <w:pPr>
      <w:pStyle w:val="Encabezado"/>
      <w:framePr w:wrap="around" w:vAnchor="text" w:hAnchor="margin" w:xAlign="outside" w:y="1"/>
      <w:rPr>
        <w:rStyle w:val="Nmerodepgina"/>
        <w:rFonts w:ascii="Arial" w:hAnsi="Arial" w:cs="Arial"/>
      </w:rPr>
    </w:pPr>
    <w:r w:rsidRPr="00E474DC">
      <w:rPr>
        <w:rStyle w:val="Nmerodepgina"/>
        <w:rFonts w:ascii="Arial" w:hAnsi="Arial" w:cs="Arial"/>
      </w:rPr>
      <w:fldChar w:fldCharType="begin"/>
    </w:r>
    <w:r w:rsidR="00097958" w:rsidRPr="00E474DC">
      <w:rPr>
        <w:rStyle w:val="Nmerodepgina"/>
        <w:rFonts w:ascii="Arial" w:hAnsi="Arial" w:cs="Arial"/>
      </w:rPr>
      <w:instrText xml:space="preserve">PAGE  </w:instrText>
    </w:r>
    <w:r w:rsidRPr="00E474DC">
      <w:rPr>
        <w:rStyle w:val="Nmerodepgina"/>
        <w:rFonts w:ascii="Arial" w:hAnsi="Arial" w:cs="Arial"/>
      </w:rPr>
      <w:fldChar w:fldCharType="separate"/>
    </w:r>
    <w:r w:rsidR="00427538">
      <w:rPr>
        <w:rStyle w:val="Nmerodepgina"/>
        <w:rFonts w:ascii="Arial" w:hAnsi="Arial" w:cs="Arial"/>
        <w:noProof/>
      </w:rPr>
      <w:t>403</w:t>
    </w:r>
    <w:r w:rsidRPr="00E474DC">
      <w:rPr>
        <w:rStyle w:val="Nmerodepgina"/>
        <w:rFonts w:ascii="Arial" w:hAnsi="Arial" w:cs="Arial"/>
      </w:rPr>
      <w:fldChar w:fldCharType="end"/>
    </w:r>
  </w:p>
  <w:p w:rsidR="00097958" w:rsidRPr="000213C3" w:rsidRDefault="0006256E" w:rsidP="000213C3">
    <w:pPr>
      <w:pStyle w:val="Encabezado"/>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000213C3" w:rsidRPr="00E474DC">
      <w:rPr>
        <w:rFonts w:ascii="Arial" w:hAnsi="Arial" w:cs="Arial"/>
        <w:b/>
      </w:rPr>
      <w:t xml:space="preserve"> </w:t>
    </w:r>
    <w:r w:rsidR="000213C3" w:rsidRPr="00E474DC">
      <w:rPr>
        <w:rFonts w:ascii="Arial" w:hAnsi="Arial" w:cs="Arial"/>
      </w:rPr>
      <w:tab/>
    </w:r>
    <w:r w:rsidR="000213C3" w:rsidRPr="00820D25">
      <w:rPr>
        <w:rFonts w:ascii="Arial" w:hAnsi="Arial" w:cs="Arial"/>
      </w:rPr>
      <w:t xml:space="preserve">ISSN: </w:t>
    </w:r>
    <w:r w:rsidRPr="0006256E">
      <w:rPr>
        <w:rFonts w:ascii="Arial" w:hAnsi="Arial" w:cs="Arial"/>
      </w:rPr>
      <w:t>2502-4752</w:t>
    </w:r>
    <w:r w:rsidR="000213C3">
      <w:rPr>
        <w:rFonts w:ascii="Arial" w:hAnsi="Arial" w:cs="Arial"/>
      </w:rPr>
      <w:tab/>
    </w:r>
    <w:r w:rsidR="000213C3">
      <w:sym w:font="Wingdings" w:char="F06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40B" w:rsidRDefault="0006256E" w:rsidP="008B04B3">
    <w:pPr>
      <w:pStyle w:val="Encabezado"/>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2F6BBA" w:rsidRDefault="00204476" w:rsidP="008B04B3">
    <w:pPr>
      <w:pStyle w:val="Encabezado"/>
      <w:tabs>
        <w:tab w:val="clear" w:pos="4320"/>
        <w:tab w:val="clear" w:pos="8640"/>
      </w:tabs>
      <w:ind w:right="45"/>
      <w:rPr>
        <w:rFonts w:ascii="Arial" w:hAnsi="Arial" w:cs="Arial"/>
      </w:rPr>
    </w:pPr>
    <w:r>
      <w:rPr>
        <w:rFonts w:ascii="Arial" w:hAnsi="Arial" w:cs="Arial"/>
      </w:rPr>
      <w:t>Vol.</w:t>
    </w:r>
    <w:r w:rsidR="004F722F">
      <w:rPr>
        <w:rFonts w:ascii="Arial" w:hAnsi="Arial" w:cs="Arial"/>
      </w:rPr>
      <w:t xml:space="preserve"> </w:t>
    </w:r>
    <w:r w:rsidR="006005D4">
      <w:rPr>
        <w:rFonts w:ascii="Arial" w:hAnsi="Arial" w:cs="Arial"/>
      </w:rPr>
      <w:t>5</w:t>
    </w:r>
    <w:r>
      <w:rPr>
        <w:rFonts w:ascii="Arial" w:hAnsi="Arial" w:cs="Arial"/>
      </w:rPr>
      <w:t>, No.</w:t>
    </w:r>
    <w:r w:rsidR="004F722F">
      <w:rPr>
        <w:rFonts w:ascii="Arial" w:hAnsi="Arial" w:cs="Arial"/>
      </w:rPr>
      <w:t xml:space="preserve"> </w:t>
    </w:r>
    <w:r w:rsidR="00364F40">
      <w:rPr>
        <w:rFonts w:ascii="Arial" w:hAnsi="Arial" w:cs="Arial"/>
      </w:rPr>
      <w:t>3</w:t>
    </w:r>
    <w:r>
      <w:rPr>
        <w:rFonts w:ascii="Arial" w:hAnsi="Arial" w:cs="Arial"/>
      </w:rPr>
      <w:t xml:space="preserve">, </w:t>
    </w:r>
    <w:r w:rsidR="00364F40">
      <w:rPr>
        <w:rFonts w:ascii="Arial" w:hAnsi="Arial" w:cs="Arial"/>
      </w:rPr>
      <w:t>March</w:t>
    </w:r>
    <w:r w:rsidR="00DC75D8">
      <w:rPr>
        <w:rFonts w:ascii="Arial" w:hAnsi="Arial" w:cs="Arial"/>
      </w:rPr>
      <w:t xml:space="preserve"> </w:t>
    </w:r>
    <w:r>
      <w:rPr>
        <w:rFonts w:ascii="Arial" w:hAnsi="Arial" w:cs="Arial"/>
      </w:rPr>
      <w:t>201</w:t>
    </w:r>
    <w:r w:rsidR="006005D4">
      <w:rPr>
        <w:rFonts w:ascii="Arial" w:hAnsi="Arial" w:cs="Arial"/>
      </w:rPr>
      <w:t>7</w:t>
    </w:r>
    <w:r>
      <w:rPr>
        <w:rFonts w:ascii="Arial" w:hAnsi="Arial" w:cs="Arial"/>
      </w:rPr>
      <w:t xml:space="preserve">, pp. </w:t>
    </w:r>
    <w:r w:rsidR="006005D4">
      <w:rPr>
        <w:rFonts w:ascii="Arial" w:hAnsi="Arial" w:cs="Arial"/>
      </w:rPr>
      <w:t>40</w:t>
    </w:r>
    <w:r w:rsidR="00DC75D8">
      <w:rPr>
        <w:rFonts w:ascii="Arial" w:hAnsi="Arial" w:cs="Arial"/>
      </w:rPr>
      <w:t>1</w:t>
    </w:r>
    <w:r>
      <w:rPr>
        <w:rFonts w:ascii="Arial" w:hAnsi="Arial" w:cs="Arial"/>
      </w:rPr>
      <w:t xml:space="preserve"> ~</w:t>
    </w:r>
    <w:r w:rsidRPr="00F57287">
      <w:rPr>
        <w:rFonts w:ascii="Arial" w:hAnsi="Arial" w:cs="Arial"/>
      </w:rPr>
      <w:t xml:space="preserve"> </w:t>
    </w:r>
    <w:r w:rsidR="006005D4">
      <w:rPr>
        <w:rFonts w:ascii="Arial" w:hAnsi="Arial" w:cs="Arial"/>
      </w:rPr>
      <w:t>40</w:t>
    </w:r>
    <w:r w:rsidR="00DC75D8">
      <w:rPr>
        <w:rFonts w:ascii="Arial" w:hAnsi="Arial" w:cs="Arial"/>
      </w:rPr>
      <w:t>8</w:t>
    </w:r>
  </w:p>
  <w:p w:rsidR="00097958" w:rsidRPr="008B04B3" w:rsidRDefault="0006256E" w:rsidP="00EF1185">
    <w:pPr>
      <w:pStyle w:val="Encabezado"/>
      <w:tabs>
        <w:tab w:val="clear" w:pos="4320"/>
        <w:tab w:val="clear" w:pos="8640"/>
        <w:tab w:val="right" w:pos="8505"/>
      </w:tabs>
      <w:rPr>
        <w:rStyle w:val="Nmerodepgina"/>
        <w:rFonts w:ascii="Arial" w:hAnsi="Arial" w:cs="Arial"/>
      </w:rPr>
    </w:pPr>
    <w:r>
      <w:rPr>
        <w:rStyle w:val="Nmerodepgina"/>
        <w:rFonts w:ascii="Arial" w:hAnsi="Arial" w:cs="Arial"/>
        <w:lang w:val="it-IT"/>
      </w:rPr>
      <w:t>DOI: 10.11591/ijeecs.v</w:t>
    </w:r>
    <w:r w:rsidR="006005D4">
      <w:rPr>
        <w:rStyle w:val="Nmerodepgina"/>
        <w:rFonts w:ascii="Arial" w:hAnsi="Arial" w:cs="Arial"/>
        <w:lang w:val="it-IT"/>
      </w:rPr>
      <w:t>5</w:t>
    </w:r>
    <w:r w:rsidR="0032082B">
      <w:rPr>
        <w:rStyle w:val="Nmerodepgina"/>
        <w:rFonts w:ascii="Arial" w:hAnsi="Arial" w:cs="Arial"/>
        <w:lang w:val="it-IT"/>
      </w:rPr>
      <w:t>.</w:t>
    </w:r>
    <w:r w:rsidR="00CD0691" w:rsidRPr="003E3C53">
      <w:rPr>
        <w:rStyle w:val="Nmerodepgina"/>
        <w:rFonts w:ascii="Arial" w:hAnsi="Arial" w:cs="Arial"/>
        <w:lang w:val="it-IT"/>
      </w:rPr>
      <w:t>i</w:t>
    </w:r>
    <w:r w:rsidR="00364F40">
      <w:rPr>
        <w:rStyle w:val="Nmerodepgina"/>
        <w:rFonts w:ascii="Arial" w:hAnsi="Arial" w:cs="Arial"/>
        <w:lang w:val="it-IT"/>
      </w:rPr>
      <w:t>3</w:t>
    </w:r>
    <w:r w:rsidR="00CD0691" w:rsidRPr="003E3C53">
      <w:rPr>
        <w:rStyle w:val="Nmerodepgina"/>
        <w:rFonts w:ascii="Arial" w:hAnsi="Arial" w:cs="Arial"/>
        <w:lang w:val="it-IT"/>
      </w:rPr>
      <w:t>.</w:t>
    </w:r>
    <w:r w:rsidR="00600C9F" w:rsidRPr="00600C9F">
      <w:rPr>
        <w:rStyle w:val="Nmerodepgina"/>
        <w:rFonts w:ascii="Arial" w:hAnsi="Arial" w:cs="Arial"/>
        <w:lang w:val="it-IT"/>
      </w:rPr>
      <w:t>pp</w:t>
    </w:r>
    <w:r w:rsidR="006005D4">
      <w:rPr>
        <w:rStyle w:val="Nmerodepgina"/>
        <w:rFonts w:ascii="Arial" w:hAnsi="Arial" w:cs="Arial"/>
        <w:lang w:val="it-IT"/>
      </w:rPr>
      <w:t>40</w:t>
    </w:r>
    <w:r w:rsidR="00600C9F">
      <w:rPr>
        <w:rStyle w:val="Nmerodepgina"/>
        <w:rFonts w:ascii="Arial" w:hAnsi="Arial" w:cs="Arial"/>
        <w:lang w:val="it-IT"/>
      </w:rPr>
      <w:t>1</w:t>
    </w:r>
    <w:r w:rsidR="00600C9F" w:rsidRPr="00600C9F">
      <w:rPr>
        <w:rStyle w:val="Nmerodepgina"/>
        <w:rFonts w:ascii="Arial" w:hAnsi="Arial" w:cs="Arial"/>
        <w:lang w:val="it-IT"/>
      </w:rPr>
      <w:t>-</w:t>
    </w:r>
    <w:r w:rsidR="006005D4">
      <w:rPr>
        <w:rStyle w:val="Nmerodepgina"/>
        <w:rFonts w:ascii="Arial" w:hAnsi="Arial" w:cs="Arial"/>
        <w:lang w:val="it-IT"/>
      </w:rPr>
      <w:t>408</w:t>
    </w:r>
    <w:r w:rsidR="00EF1185">
      <w:rPr>
        <w:rStyle w:val="Nmerodepgina"/>
        <w:rFonts w:ascii="Arial Narrow" w:hAnsi="Arial Narrow" w:cs="Arial"/>
        <w:lang w:val="it-IT"/>
      </w:rPr>
      <w:tab/>
    </w:r>
    <w:r w:rsidR="00AC15EA">
      <w:rPr>
        <w:rStyle w:val="Nmerodepgina"/>
        <w:rFonts w:ascii="Arial Narrow" w:hAnsi="Arial Narrow" w:cs="Arial"/>
        <w:lang w:val="it-IT"/>
      </w:rPr>
      <w:t xml:space="preserve"> </w:t>
    </w:r>
    <w:r w:rsidR="00097958" w:rsidRPr="008B04B3">
      <w:rPr>
        <w:rFonts w:ascii="Arial" w:hAnsi="Arial" w:cs="Arial"/>
      </w:rPr>
      <w:sym w:font="Wingdings" w:char="F06E"/>
    </w:r>
    <w:r w:rsidR="00097958" w:rsidRPr="008B04B3">
      <w:rPr>
        <w:rFonts w:ascii="Arial" w:hAnsi="Arial" w:cs="Arial"/>
      </w:rPr>
      <w:t xml:space="preserve"> </w:t>
    </w:r>
    <w:r w:rsidR="004D78C2">
      <w:rPr>
        <w:rFonts w:ascii="Arial" w:hAnsi="Arial" w:cs="Arial"/>
      </w:rPr>
      <w:t xml:space="preserve"> </w:t>
    </w:r>
    <w:r w:rsidR="00204476">
      <w:rPr>
        <w:rFonts w:ascii="Arial" w:hAnsi="Arial" w:cs="Arial"/>
      </w:rPr>
      <w:t xml:space="preserve"> </w:t>
    </w:r>
    <w:r w:rsidR="002B1C48">
      <w:rPr>
        <w:rFonts w:ascii="Arial" w:hAnsi="Arial" w:cs="Arial"/>
      </w:rPr>
      <w:t xml:space="preserve"> </w:t>
    </w:r>
    <w:r w:rsidR="00694C9A" w:rsidRPr="008B04B3">
      <w:rPr>
        <w:rStyle w:val="Nmerodepgina"/>
        <w:rFonts w:ascii="Arial" w:hAnsi="Arial" w:cs="Arial"/>
      </w:rPr>
      <w:fldChar w:fldCharType="begin"/>
    </w:r>
    <w:r w:rsidR="00097958" w:rsidRPr="008B04B3">
      <w:rPr>
        <w:rStyle w:val="Nmerodepgina"/>
        <w:rFonts w:ascii="Arial" w:hAnsi="Arial" w:cs="Arial"/>
      </w:rPr>
      <w:instrText xml:space="preserve"> PAGE </w:instrText>
    </w:r>
    <w:r w:rsidR="00694C9A" w:rsidRPr="008B04B3">
      <w:rPr>
        <w:rStyle w:val="Nmerodepgina"/>
        <w:rFonts w:ascii="Arial" w:hAnsi="Arial" w:cs="Arial"/>
      </w:rPr>
      <w:fldChar w:fldCharType="separate"/>
    </w:r>
    <w:r w:rsidR="00427538">
      <w:rPr>
        <w:rStyle w:val="Nmerodepgina"/>
        <w:rFonts w:ascii="Arial" w:hAnsi="Arial" w:cs="Arial"/>
        <w:noProof/>
      </w:rPr>
      <w:t>401</w:t>
    </w:r>
    <w:r w:rsidR="00694C9A" w:rsidRPr="008B04B3">
      <w:rPr>
        <w:rStyle w:val="Nmerodepgina"/>
        <w:rFonts w:ascii="Arial" w:hAnsi="Arial" w:cs="Arial"/>
      </w:rPr>
      <w:fldChar w:fldCharType="end"/>
    </w:r>
  </w:p>
  <w:p w:rsidR="00097958" w:rsidRPr="008B04B3" w:rsidRDefault="0022411F" w:rsidP="008B04B3">
    <w:pPr>
      <w:pStyle w:val="Encabezado"/>
      <w:tabs>
        <w:tab w:val="clear" w:pos="4320"/>
        <w:tab w:val="clear" w:pos="8640"/>
      </w:tabs>
      <w:ind w:right="45"/>
      <w:jc w:val="right"/>
      <w:rPr>
        <w:rStyle w:val="Nmerodepgina"/>
        <w:rFonts w:ascii="Arial" w:hAnsi="Arial" w:cs="Arial"/>
      </w:rPr>
    </w:pPr>
    <w:r>
      <w:rPr>
        <w:rFonts w:ascii="Arial" w:hAnsi="Arial" w:cs="Arial"/>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3B2B"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0U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xloTK9cQUAKrWxITd6VC9mrek3h5SuWqJ2PCp8PRkIixHJXUhYOAP82/6LZoAhe69jmY6N&#10;7QIlFAAdoxunmxv86BGFzfHD4yhL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AKC4/i2gAAAAYBAAAPAAAAZHJzL2Rvd25yZXYueG1sTI/BTsMwDIbvSHuHyJO4TCyl&#10;TNNUmk7ToDcubCCuXmPaisbpmmwrPD1GHODo77d+f87Xo+vUmYbQejZwO09AEVfetlwbeNmXNytQ&#10;ISJb7DyTgU8KsC4mVzlm1l/4mc67WCsp4ZChgSbGPtM6VA05DHPfE0v27geHUcah1nbAi5S7TqdJ&#10;stQOW5YLDfa0baj62J2cgVC+0rH8mlWz5O2u9pQeH54e0Zjr6bi5BxVpjH/L8KMv6lCI08Gf2AbV&#10;GZBHotB0AUrS1WIp4PALdJHr//rFNwAAAP//AwBQSwECLQAUAAYACAAAACEAtoM4kv4AAADhAQAA&#10;EwAAAAAAAAAAAAAAAAAAAAAAW0NvbnRlbnRfVHlwZXNdLnhtbFBLAQItABQABgAIAAAAIQA4/SH/&#10;1gAAAJQBAAALAAAAAAAAAAAAAAAAAC8BAABfcmVscy8ucmVsc1BLAQItABQABgAIAAAAIQBaVs0U&#10;FAIAACgEAAAOAAAAAAAAAAAAAAAAAC4CAABkcnMvZTJvRG9jLnhtbFBLAQItABQABgAIAAAAIQAK&#10;C4/i2gAAAAYBAAAPAAAAAAAAAAAAAAAAAG4EAABkcnMvZG93bnJldi54bWxQSwUGAAAAAAQABADz&#10;AAAAdQUAAAAA&#10;"/>
          </w:pict>
        </mc:Fallback>
      </mc:AlternateContent>
    </w:r>
    <w:r w:rsidR="00097958" w:rsidRPr="008B04B3">
      <w:rPr>
        <w:rStyle w:val="Nmerodepgina"/>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4B71"/>
    <w:rsid w:val="00005EFC"/>
    <w:rsid w:val="00007744"/>
    <w:rsid w:val="000106D0"/>
    <w:rsid w:val="00012CEF"/>
    <w:rsid w:val="00014633"/>
    <w:rsid w:val="00015F2A"/>
    <w:rsid w:val="00017858"/>
    <w:rsid w:val="000213C3"/>
    <w:rsid w:val="00024C53"/>
    <w:rsid w:val="00027142"/>
    <w:rsid w:val="000279BE"/>
    <w:rsid w:val="000315F7"/>
    <w:rsid w:val="00034C84"/>
    <w:rsid w:val="000416A3"/>
    <w:rsid w:val="000437AE"/>
    <w:rsid w:val="000474E3"/>
    <w:rsid w:val="00047710"/>
    <w:rsid w:val="000523C5"/>
    <w:rsid w:val="00053FB7"/>
    <w:rsid w:val="0006020A"/>
    <w:rsid w:val="00060330"/>
    <w:rsid w:val="00060F5C"/>
    <w:rsid w:val="00061BCC"/>
    <w:rsid w:val="00061D77"/>
    <w:rsid w:val="0006256E"/>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796"/>
    <w:rsid w:val="000A140A"/>
    <w:rsid w:val="000A15DA"/>
    <w:rsid w:val="000A2468"/>
    <w:rsid w:val="000A592D"/>
    <w:rsid w:val="000A620A"/>
    <w:rsid w:val="000A643C"/>
    <w:rsid w:val="000A7ACA"/>
    <w:rsid w:val="000B0641"/>
    <w:rsid w:val="000B3F82"/>
    <w:rsid w:val="000B4FF0"/>
    <w:rsid w:val="000B5480"/>
    <w:rsid w:val="000B682B"/>
    <w:rsid w:val="000C03DA"/>
    <w:rsid w:val="000C2FEA"/>
    <w:rsid w:val="000C4B17"/>
    <w:rsid w:val="000C4C56"/>
    <w:rsid w:val="000C5C51"/>
    <w:rsid w:val="000C730A"/>
    <w:rsid w:val="000D099B"/>
    <w:rsid w:val="000D28FB"/>
    <w:rsid w:val="000D2B65"/>
    <w:rsid w:val="000D50C8"/>
    <w:rsid w:val="000D5EE7"/>
    <w:rsid w:val="000D64FD"/>
    <w:rsid w:val="000D6591"/>
    <w:rsid w:val="000D6BC3"/>
    <w:rsid w:val="000E0AE1"/>
    <w:rsid w:val="000E0C84"/>
    <w:rsid w:val="000E0CE9"/>
    <w:rsid w:val="000E0E3C"/>
    <w:rsid w:val="000E1C9D"/>
    <w:rsid w:val="000E28E0"/>
    <w:rsid w:val="000E46C5"/>
    <w:rsid w:val="000E4FD6"/>
    <w:rsid w:val="000E708C"/>
    <w:rsid w:val="000F1297"/>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491A"/>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4C3"/>
    <w:rsid w:val="001441CB"/>
    <w:rsid w:val="00145453"/>
    <w:rsid w:val="0014611F"/>
    <w:rsid w:val="00146861"/>
    <w:rsid w:val="001517E4"/>
    <w:rsid w:val="00151E7C"/>
    <w:rsid w:val="00153224"/>
    <w:rsid w:val="00153387"/>
    <w:rsid w:val="00154C55"/>
    <w:rsid w:val="0015739F"/>
    <w:rsid w:val="00157C06"/>
    <w:rsid w:val="00161845"/>
    <w:rsid w:val="00161D8A"/>
    <w:rsid w:val="00162849"/>
    <w:rsid w:val="00166432"/>
    <w:rsid w:val="00167012"/>
    <w:rsid w:val="001671A8"/>
    <w:rsid w:val="0016761A"/>
    <w:rsid w:val="00167BE2"/>
    <w:rsid w:val="0017238E"/>
    <w:rsid w:val="00177E2C"/>
    <w:rsid w:val="00180992"/>
    <w:rsid w:val="00180FD2"/>
    <w:rsid w:val="00180FD4"/>
    <w:rsid w:val="00181509"/>
    <w:rsid w:val="00181965"/>
    <w:rsid w:val="00182D8F"/>
    <w:rsid w:val="00185202"/>
    <w:rsid w:val="00187B69"/>
    <w:rsid w:val="0019050C"/>
    <w:rsid w:val="00192E8C"/>
    <w:rsid w:val="0019391D"/>
    <w:rsid w:val="00195579"/>
    <w:rsid w:val="00195E49"/>
    <w:rsid w:val="001A0839"/>
    <w:rsid w:val="001A2D45"/>
    <w:rsid w:val="001A33EF"/>
    <w:rsid w:val="001A6831"/>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9C3"/>
    <w:rsid w:val="001D218B"/>
    <w:rsid w:val="001E1922"/>
    <w:rsid w:val="001E2071"/>
    <w:rsid w:val="001E30D5"/>
    <w:rsid w:val="001E5CFB"/>
    <w:rsid w:val="001E608B"/>
    <w:rsid w:val="001E69C1"/>
    <w:rsid w:val="001E7DCD"/>
    <w:rsid w:val="001E7FFA"/>
    <w:rsid w:val="001F0AFC"/>
    <w:rsid w:val="001F44AD"/>
    <w:rsid w:val="001F470F"/>
    <w:rsid w:val="001F4ACD"/>
    <w:rsid w:val="001F6170"/>
    <w:rsid w:val="001F63D7"/>
    <w:rsid w:val="001F6ACF"/>
    <w:rsid w:val="001F6FB1"/>
    <w:rsid w:val="00204431"/>
    <w:rsid w:val="00204476"/>
    <w:rsid w:val="0020464A"/>
    <w:rsid w:val="00204A25"/>
    <w:rsid w:val="00205F36"/>
    <w:rsid w:val="0020608E"/>
    <w:rsid w:val="002073B6"/>
    <w:rsid w:val="002076CA"/>
    <w:rsid w:val="002079DD"/>
    <w:rsid w:val="00210425"/>
    <w:rsid w:val="00212DCC"/>
    <w:rsid w:val="002141C1"/>
    <w:rsid w:val="00215A82"/>
    <w:rsid w:val="00216F2A"/>
    <w:rsid w:val="002204A0"/>
    <w:rsid w:val="00220914"/>
    <w:rsid w:val="00221D61"/>
    <w:rsid w:val="00221FB3"/>
    <w:rsid w:val="0022411F"/>
    <w:rsid w:val="00224456"/>
    <w:rsid w:val="00225BEA"/>
    <w:rsid w:val="00226552"/>
    <w:rsid w:val="00230440"/>
    <w:rsid w:val="00230AAB"/>
    <w:rsid w:val="00232081"/>
    <w:rsid w:val="00232DA1"/>
    <w:rsid w:val="0023388B"/>
    <w:rsid w:val="00234490"/>
    <w:rsid w:val="0023535A"/>
    <w:rsid w:val="00237B26"/>
    <w:rsid w:val="00240303"/>
    <w:rsid w:val="0024180A"/>
    <w:rsid w:val="0024268D"/>
    <w:rsid w:val="00250442"/>
    <w:rsid w:val="00250A66"/>
    <w:rsid w:val="00251D22"/>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012"/>
    <w:rsid w:val="002811F8"/>
    <w:rsid w:val="00281882"/>
    <w:rsid w:val="00281D99"/>
    <w:rsid w:val="002821B9"/>
    <w:rsid w:val="0028450D"/>
    <w:rsid w:val="00291EBF"/>
    <w:rsid w:val="00292A87"/>
    <w:rsid w:val="00296D8E"/>
    <w:rsid w:val="002A0772"/>
    <w:rsid w:val="002A58A6"/>
    <w:rsid w:val="002B0601"/>
    <w:rsid w:val="002B10C7"/>
    <w:rsid w:val="002B1C48"/>
    <w:rsid w:val="002B66EF"/>
    <w:rsid w:val="002B6EC9"/>
    <w:rsid w:val="002B7609"/>
    <w:rsid w:val="002C0665"/>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1A2D"/>
    <w:rsid w:val="0034265F"/>
    <w:rsid w:val="00343A49"/>
    <w:rsid w:val="00346441"/>
    <w:rsid w:val="003475EC"/>
    <w:rsid w:val="0035076B"/>
    <w:rsid w:val="00352BEB"/>
    <w:rsid w:val="00353885"/>
    <w:rsid w:val="003602FF"/>
    <w:rsid w:val="00361EB1"/>
    <w:rsid w:val="003629D1"/>
    <w:rsid w:val="003631E5"/>
    <w:rsid w:val="003637CE"/>
    <w:rsid w:val="00364F40"/>
    <w:rsid w:val="00366EC9"/>
    <w:rsid w:val="003715EC"/>
    <w:rsid w:val="0037196D"/>
    <w:rsid w:val="00373753"/>
    <w:rsid w:val="00373985"/>
    <w:rsid w:val="00376867"/>
    <w:rsid w:val="00376A96"/>
    <w:rsid w:val="003772AC"/>
    <w:rsid w:val="00381E56"/>
    <w:rsid w:val="003826FF"/>
    <w:rsid w:val="00393D9D"/>
    <w:rsid w:val="00393E61"/>
    <w:rsid w:val="00396D02"/>
    <w:rsid w:val="00397C85"/>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43"/>
    <w:rsid w:val="003C3E42"/>
    <w:rsid w:val="003C4B05"/>
    <w:rsid w:val="003C72E2"/>
    <w:rsid w:val="003D07D2"/>
    <w:rsid w:val="003D79CF"/>
    <w:rsid w:val="003E0207"/>
    <w:rsid w:val="003E304D"/>
    <w:rsid w:val="003E3C53"/>
    <w:rsid w:val="003E4AA5"/>
    <w:rsid w:val="003F0964"/>
    <w:rsid w:val="003F18A1"/>
    <w:rsid w:val="003F1D93"/>
    <w:rsid w:val="003F2EB6"/>
    <w:rsid w:val="003F370A"/>
    <w:rsid w:val="003F4897"/>
    <w:rsid w:val="003F6587"/>
    <w:rsid w:val="00402C7D"/>
    <w:rsid w:val="00403A74"/>
    <w:rsid w:val="00403DB0"/>
    <w:rsid w:val="00407351"/>
    <w:rsid w:val="00407C2D"/>
    <w:rsid w:val="004106DF"/>
    <w:rsid w:val="00411A71"/>
    <w:rsid w:val="00411C0C"/>
    <w:rsid w:val="0041399A"/>
    <w:rsid w:val="00414535"/>
    <w:rsid w:val="00420294"/>
    <w:rsid w:val="00420D64"/>
    <w:rsid w:val="00424E85"/>
    <w:rsid w:val="00425BE9"/>
    <w:rsid w:val="00427072"/>
    <w:rsid w:val="00427538"/>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C74A1"/>
    <w:rsid w:val="004D377C"/>
    <w:rsid w:val="004D7295"/>
    <w:rsid w:val="004D78C2"/>
    <w:rsid w:val="004E140A"/>
    <w:rsid w:val="004E154B"/>
    <w:rsid w:val="004E1914"/>
    <w:rsid w:val="004E2D16"/>
    <w:rsid w:val="004E3613"/>
    <w:rsid w:val="004E3CAD"/>
    <w:rsid w:val="004E6C69"/>
    <w:rsid w:val="004F101E"/>
    <w:rsid w:val="004F2A11"/>
    <w:rsid w:val="004F2E0D"/>
    <w:rsid w:val="004F3166"/>
    <w:rsid w:val="004F3208"/>
    <w:rsid w:val="004F478D"/>
    <w:rsid w:val="004F54D2"/>
    <w:rsid w:val="004F6193"/>
    <w:rsid w:val="004F722F"/>
    <w:rsid w:val="004F7337"/>
    <w:rsid w:val="004F7E87"/>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027"/>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A4F"/>
    <w:rsid w:val="005E4727"/>
    <w:rsid w:val="005E4789"/>
    <w:rsid w:val="005E6EF7"/>
    <w:rsid w:val="005E736A"/>
    <w:rsid w:val="005E75FC"/>
    <w:rsid w:val="005F042D"/>
    <w:rsid w:val="005F3D1C"/>
    <w:rsid w:val="005F4EE8"/>
    <w:rsid w:val="005F534C"/>
    <w:rsid w:val="005F75F8"/>
    <w:rsid w:val="00600283"/>
    <w:rsid w:val="006005D4"/>
    <w:rsid w:val="00600C9F"/>
    <w:rsid w:val="006044C7"/>
    <w:rsid w:val="006123B6"/>
    <w:rsid w:val="00613977"/>
    <w:rsid w:val="0061627D"/>
    <w:rsid w:val="006206C7"/>
    <w:rsid w:val="00622EC4"/>
    <w:rsid w:val="0062488B"/>
    <w:rsid w:val="006304E8"/>
    <w:rsid w:val="006327F1"/>
    <w:rsid w:val="00636167"/>
    <w:rsid w:val="006425AC"/>
    <w:rsid w:val="00644417"/>
    <w:rsid w:val="00645F56"/>
    <w:rsid w:val="00647075"/>
    <w:rsid w:val="00652EBE"/>
    <w:rsid w:val="0065493A"/>
    <w:rsid w:val="006549EF"/>
    <w:rsid w:val="00655C14"/>
    <w:rsid w:val="00656420"/>
    <w:rsid w:val="006564D2"/>
    <w:rsid w:val="00662070"/>
    <w:rsid w:val="0066237A"/>
    <w:rsid w:val="006628A9"/>
    <w:rsid w:val="00665A9F"/>
    <w:rsid w:val="00665B37"/>
    <w:rsid w:val="0066729D"/>
    <w:rsid w:val="006719D8"/>
    <w:rsid w:val="0067364F"/>
    <w:rsid w:val="00675D81"/>
    <w:rsid w:val="00676455"/>
    <w:rsid w:val="00676EB9"/>
    <w:rsid w:val="00682B00"/>
    <w:rsid w:val="006846BC"/>
    <w:rsid w:val="00685AA5"/>
    <w:rsid w:val="00685FB4"/>
    <w:rsid w:val="006863DA"/>
    <w:rsid w:val="00687CA7"/>
    <w:rsid w:val="00687D3A"/>
    <w:rsid w:val="006917F6"/>
    <w:rsid w:val="006925E2"/>
    <w:rsid w:val="00694C9A"/>
    <w:rsid w:val="006958C6"/>
    <w:rsid w:val="006A0231"/>
    <w:rsid w:val="006A090C"/>
    <w:rsid w:val="006A1384"/>
    <w:rsid w:val="006A2270"/>
    <w:rsid w:val="006A34DA"/>
    <w:rsid w:val="006A6AEE"/>
    <w:rsid w:val="006B0965"/>
    <w:rsid w:val="006B1301"/>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C6A"/>
    <w:rsid w:val="00712D75"/>
    <w:rsid w:val="00712FFF"/>
    <w:rsid w:val="007142C8"/>
    <w:rsid w:val="00717A32"/>
    <w:rsid w:val="00720729"/>
    <w:rsid w:val="007212E2"/>
    <w:rsid w:val="00723DEB"/>
    <w:rsid w:val="00731AEB"/>
    <w:rsid w:val="00733364"/>
    <w:rsid w:val="00740C36"/>
    <w:rsid w:val="00741A8F"/>
    <w:rsid w:val="00742008"/>
    <w:rsid w:val="00743BA0"/>
    <w:rsid w:val="00747DFD"/>
    <w:rsid w:val="00754329"/>
    <w:rsid w:val="007547A1"/>
    <w:rsid w:val="00756A93"/>
    <w:rsid w:val="0075769A"/>
    <w:rsid w:val="00765DEF"/>
    <w:rsid w:val="00766E46"/>
    <w:rsid w:val="00770E6E"/>
    <w:rsid w:val="00771A7C"/>
    <w:rsid w:val="00771E96"/>
    <w:rsid w:val="0077230A"/>
    <w:rsid w:val="00772725"/>
    <w:rsid w:val="00773EB7"/>
    <w:rsid w:val="007751AA"/>
    <w:rsid w:val="00777AD7"/>
    <w:rsid w:val="00791477"/>
    <w:rsid w:val="0079451D"/>
    <w:rsid w:val="007A04C8"/>
    <w:rsid w:val="007A3102"/>
    <w:rsid w:val="007A3B30"/>
    <w:rsid w:val="007A3FC0"/>
    <w:rsid w:val="007A49BA"/>
    <w:rsid w:val="007A609F"/>
    <w:rsid w:val="007A7484"/>
    <w:rsid w:val="007B0C95"/>
    <w:rsid w:val="007B57A1"/>
    <w:rsid w:val="007B7535"/>
    <w:rsid w:val="007C0D3D"/>
    <w:rsid w:val="007C2A08"/>
    <w:rsid w:val="007C60D8"/>
    <w:rsid w:val="007D0AC6"/>
    <w:rsid w:val="007D2077"/>
    <w:rsid w:val="007D2DFE"/>
    <w:rsid w:val="007D7A78"/>
    <w:rsid w:val="007E2440"/>
    <w:rsid w:val="007E2D77"/>
    <w:rsid w:val="007E5812"/>
    <w:rsid w:val="007E68A5"/>
    <w:rsid w:val="007F1EC7"/>
    <w:rsid w:val="007F36F4"/>
    <w:rsid w:val="007F3EAF"/>
    <w:rsid w:val="007F40B0"/>
    <w:rsid w:val="007F5F38"/>
    <w:rsid w:val="007F665B"/>
    <w:rsid w:val="0080219B"/>
    <w:rsid w:val="008042C8"/>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8B8"/>
    <w:rsid w:val="00831DDD"/>
    <w:rsid w:val="00832386"/>
    <w:rsid w:val="008332DA"/>
    <w:rsid w:val="008344C2"/>
    <w:rsid w:val="008346B6"/>
    <w:rsid w:val="00834BAC"/>
    <w:rsid w:val="00836D01"/>
    <w:rsid w:val="008379F3"/>
    <w:rsid w:val="00837EA3"/>
    <w:rsid w:val="008439A0"/>
    <w:rsid w:val="00843BE9"/>
    <w:rsid w:val="0084657F"/>
    <w:rsid w:val="008508FF"/>
    <w:rsid w:val="00850CAC"/>
    <w:rsid w:val="0085238C"/>
    <w:rsid w:val="008530DA"/>
    <w:rsid w:val="008538D0"/>
    <w:rsid w:val="00853BF4"/>
    <w:rsid w:val="00854ED5"/>
    <w:rsid w:val="00855965"/>
    <w:rsid w:val="00856356"/>
    <w:rsid w:val="008563F2"/>
    <w:rsid w:val="0086033E"/>
    <w:rsid w:val="00860671"/>
    <w:rsid w:val="00862CD2"/>
    <w:rsid w:val="00864CD0"/>
    <w:rsid w:val="0086508B"/>
    <w:rsid w:val="00866E4F"/>
    <w:rsid w:val="0087156B"/>
    <w:rsid w:val="00872D7E"/>
    <w:rsid w:val="008754E6"/>
    <w:rsid w:val="0087776F"/>
    <w:rsid w:val="0088280A"/>
    <w:rsid w:val="00883EB7"/>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2A1B"/>
    <w:rsid w:val="008C2A3F"/>
    <w:rsid w:val="008C38EB"/>
    <w:rsid w:val="008C414B"/>
    <w:rsid w:val="008C54EA"/>
    <w:rsid w:val="008C671C"/>
    <w:rsid w:val="008C7817"/>
    <w:rsid w:val="008D14A9"/>
    <w:rsid w:val="008D3BDF"/>
    <w:rsid w:val="008D7EA2"/>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4735"/>
    <w:rsid w:val="00904D6D"/>
    <w:rsid w:val="00904EC8"/>
    <w:rsid w:val="00906951"/>
    <w:rsid w:val="0091187A"/>
    <w:rsid w:val="00912FBC"/>
    <w:rsid w:val="00913D3B"/>
    <w:rsid w:val="00913F75"/>
    <w:rsid w:val="00917B49"/>
    <w:rsid w:val="00921D05"/>
    <w:rsid w:val="0092257C"/>
    <w:rsid w:val="009314C3"/>
    <w:rsid w:val="009317FD"/>
    <w:rsid w:val="00937252"/>
    <w:rsid w:val="009406FF"/>
    <w:rsid w:val="009416C1"/>
    <w:rsid w:val="0094367D"/>
    <w:rsid w:val="00943FA1"/>
    <w:rsid w:val="00945A5C"/>
    <w:rsid w:val="00946389"/>
    <w:rsid w:val="0094738D"/>
    <w:rsid w:val="00950EF7"/>
    <w:rsid w:val="00954DC0"/>
    <w:rsid w:val="00954DC1"/>
    <w:rsid w:val="00954E79"/>
    <w:rsid w:val="00955462"/>
    <w:rsid w:val="009617A9"/>
    <w:rsid w:val="00966037"/>
    <w:rsid w:val="009665BE"/>
    <w:rsid w:val="009673AB"/>
    <w:rsid w:val="00970E84"/>
    <w:rsid w:val="00971153"/>
    <w:rsid w:val="009808A2"/>
    <w:rsid w:val="00981036"/>
    <w:rsid w:val="00981E5F"/>
    <w:rsid w:val="00982EB0"/>
    <w:rsid w:val="00983846"/>
    <w:rsid w:val="00990CC8"/>
    <w:rsid w:val="0099227E"/>
    <w:rsid w:val="009949C5"/>
    <w:rsid w:val="009A19B2"/>
    <w:rsid w:val="009B3EC0"/>
    <w:rsid w:val="009B5FE8"/>
    <w:rsid w:val="009B62B1"/>
    <w:rsid w:val="009B76C2"/>
    <w:rsid w:val="009C080D"/>
    <w:rsid w:val="009C5293"/>
    <w:rsid w:val="009D2D37"/>
    <w:rsid w:val="009D41DF"/>
    <w:rsid w:val="009D5D48"/>
    <w:rsid w:val="009D60BF"/>
    <w:rsid w:val="009D709E"/>
    <w:rsid w:val="009E0249"/>
    <w:rsid w:val="009E055A"/>
    <w:rsid w:val="009E0F0F"/>
    <w:rsid w:val="009E36AC"/>
    <w:rsid w:val="009E4FB4"/>
    <w:rsid w:val="009E5694"/>
    <w:rsid w:val="009E585B"/>
    <w:rsid w:val="009E5EB5"/>
    <w:rsid w:val="009F040E"/>
    <w:rsid w:val="00A02DD3"/>
    <w:rsid w:val="00A04D6C"/>
    <w:rsid w:val="00A05622"/>
    <w:rsid w:val="00A1136A"/>
    <w:rsid w:val="00A16250"/>
    <w:rsid w:val="00A162E4"/>
    <w:rsid w:val="00A17296"/>
    <w:rsid w:val="00A17D28"/>
    <w:rsid w:val="00A21621"/>
    <w:rsid w:val="00A22457"/>
    <w:rsid w:val="00A22900"/>
    <w:rsid w:val="00A31379"/>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1C8A"/>
    <w:rsid w:val="00A71ED6"/>
    <w:rsid w:val="00A73E20"/>
    <w:rsid w:val="00A77E76"/>
    <w:rsid w:val="00A80090"/>
    <w:rsid w:val="00A8123B"/>
    <w:rsid w:val="00A83511"/>
    <w:rsid w:val="00A85A64"/>
    <w:rsid w:val="00A921E0"/>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60ED"/>
    <w:rsid w:val="00AD564C"/>
    <w:rsid w:val="00AD7639"/>
    <w:rsid w:val="00AE0A9E"/>
    <w:rsid w:val="00AE3182"/>
    <w:rsid w:val="00AE43A3"/>
    <w:rsid w:val="00AF095A"/>
    <w:rsid w:val="00AF1119"/>
    <w:rsid w:val="00AF59C3"/>
    <w:rsid w:val="00B00A09"/>
    <w:rsid w:val="00B011BB"/>
    <w:rsid w:val="00B0163B"/>
    <w:rsid w:val="00B04312"/>
    <w:rsid w:val="00B0539A"/>
    <w:rsid w:val="00B0540B"/>
    <w:rsid w:val="00B06669"/>
    <w:rsid w:val="00B06F09"/>
    <w:rsid w:val="00B1435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9B2"/>
    <w:rsid w:val="00B65BB6"/>
    <w:rsid w:val="00B702B8"/>
    <w:rsid w:val="00B7048C"/>
    <w:rsid w:val="00B7089A"/>
    <w:rsid w:val="00B71D8A"/>
    <w:rsid w:val="00B73F7D"/>
    <w:rsid w:val="00B743B9"/>
    <w:rsid w:val="00B768D7"/>
    <w:rsid w:val="00B778A3"/>
    <w:rsid w:val="00B809F3"/>
    <w:rsid w:val="00B85932"/>
    <w:rsid w:val="00B87588"/>
    <w:rsid w:val="00B9198C"/>
    <w:rsid w:val="00B92474"/>
    <w:rsid w:val="00B944FA"/>
    <w:rsid w:val="00BA2419"/>
    <w:rsid w:val="00BB0F2F"/>
    <w:rsid w:val="00BB140D"/>
    <w:rsid w:val="00BB186F"/>
    <w:rsid w:val="00BB1C66"/>
    <w:rsid w:val="00BB359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20F0"/>
    <w:rsid w:val="00BE3232"/>
    <w:rsid w:val="00BE520C"/>
    <w:rsid w:val="00BF16AD"/>
    <w:rsid w:val="00BF2C8B"/>
    <w:rsid w:val="00BF34A7"/>
    <w:rsid w:val="00BF3B14"/>
    <w:rsid w:val="00BF5CBF"/>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22F0A"/>
    <w:rsid w:val="00C2325B"/>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53FB"/>
    <w:rsid w:val="00C463A9"/>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F0"/>
    <w:rsid w:val="00C80CAC"/>
    <w:rsid w:val="00C8516B"/>
    <w:rsid w:val="00C85B81"/>
    <w:rsid w:val="00C9178F"/>
    <w:rsid w:val="00C92654"/>
    <w:rsid w:val="00C92B19"/>
    <w:rsid w:val="00C93F76"/>
    <w:rsid w:val="00C9655A"/>
    <w:rsid w:val="00C967DB"/>
    <w:rsid w:val="00C96FCA"/>
    <w:rsid w:val="00C9754D"/>
    <w:rsid w:val="00C975DF"/>
    <w:rsid w:val="00CA5D84"/>
    <w:rsid w:val="00CB60BD"/>
    <w:rsid w:val="00CC1960"/>
    <w:rsid w:val="00CC207D"/>
    <w:rsid w:val="00CD0691"/>
    <w:rsid w:val="00CD5363"/>
    <w:rsid w:val="00CD7200"/>
    <w:rsid w:val="00CE1CF3"/>
    <w:rsid w:val="00CE70F3"/>
    <w:rsid w:val="00CE7659"/>
    <w:rsid w:val="00CF0E18"/>
    <w:rsid w:val="00CF29A4"/>
    <w:rsid w:val="00CF2F2E"/>
    <w:rsid w:val="00CF624D"/>
    <w:rsid w:val="00CF6E34"/>
    <w:rsid w:val="00D01276"/>
    <w:rsid w:val="00D066D9"/>
    <w:rsid w:val="00D076EF"/>
    <w:rsid w:val="00D108C5"/>
    <w:rsid w:val="00D10A4D"/>
    <w:rsid w:val="00D10D7A"/>
    <w:rsid w:val="00D1187F"/>
    <w:rsid w:val="00D11C2D"/>
    <w:rsid w:val="00D1618D"/>
    <w:rsid w:val="00D167B1"/>
    <w:rsid w:val="00D16D1B"/>
    <w:rsid w:val="00D201A8"/>
    <w:rsid w:val="00D21F66"/>
    <w:rsid w:val="00D24B66"/>
    <w:rsid w:val="00D24C22"/>
    <w:rsid w:val="00D2644D"/>
    <w:rsid w:val="00D31492"/>
    <w:rsid w:val="00D3478B"/>
    <w:rsid w:val="00D35E12"/>
    <w:rsid w:val="00D36D90"/>
    <w:rsid w:val="00D413DD"/>
    <w:rsid w:val="00D4189D"/>
    <w:rsid w:val="00D424E3"/>
    <w:rsid w:val="00D42604"/>
    <w:rsid w:val="00D43436"/>
    <w:rsid w:val="00D4389A"/>
    <w:rsid w:val="00D4436A"/>
    <w:rsid w:val="00D45829"/>
    <w:rsid w:val="00D45DEF"/>
    <w:rsid w:val="00D45FB7"/>
    <w:rsid w:val="00D46347"/>
    <w:rsid w:val="00D46954"/>
    <w:rsid w:val="00D51E72"/>
    <w:rsid w:val="00D5289F"/>
    <w:rsid w:val="00D54DBC"/>
    <w:rsid w:val="00D570F3"/>
    <w:rsid w:val="00D61C85"/>
    <w:rsid w:val="00D624E5"/>
    <w:rsid w:val="00D634A8"/>
    <w:rsid w:val="00D646E0"/>
    <w:rsid w:val="00D64C3D"/>
    <w:rsid w:val="00D65A1C"/>
    <w:rsid w:val="00D67099"/>
    <w:rsid w:val="00D71939"/>
    <w:rsid w:val="00D72D27"/>
    <w:rsid w:val="00D73317"/>
    <w:rsid w:val="00D743C8"/>
    <w:rsid w:val="00D743DA"/>
    <w:rsid w:val="00D744B5"/>
    <w:rsid w:val="00D745B1"/>
    <w:rsid w:val="00D753F3"/>
    <w:rsid w:val="00D9045B"/>
    <w:rsid w:val="00D90EA9"/>
    <w:rsid w:val="00D941C3"/>
    <w:rsid w:val="00D94A99"/>
    <w:rsid w:val="00D95324"/>
    <w:rsid w:val="00D9566B"/>
    <w:rsid w:val="00DA0390"/>
    <w:rsid w:val="00DA1940"/>
    <w:rsid w:val="00DA3C3C"/>
    <w:rsid w:val="00DB05EC"/>
    <w:rsid w:val="00DB166E"/>
    <w:rsid w:val="00DB3D8C"/>
    <w:rsid w:val="00DB43B8"/>
    <w:rsid w:val="00DB7BD1"/>
    <w:rsid w:val="00DB7C8A"/>
    <w:rsid w:val="00DC2DC5"/>
    <w:rsid w:val="00DC5624"/>
    <w:rsid w:val="00DC75D8"/>
    <w:rsid w:val="00DD02CA"/>
    <w:rsid w:val="00DD35E7"/>
    <w:rsid w:val="00DD3B82"/>
    <w:rsid w:val="00DD5486"/>
    <w:rsid w:val="00DD650E"/>
    <w:rsid w:val="00DD7968"/>
    <w:rsid w:val="00DE00E1"/>
    <w:rsid w:val="00DE0B7E"/>
    <w:rsid w:val="00DE1418"/>
    <w:rsid w:val="00DE2205"/>
    <w:rsid w:val="00DE421E"/>
    <w:rsid w:val="00DE4C0B"/>
    <w:rsid w:val="00DE5454"/>
    <w:rsid w:val="00DE7F41"/>
    <w:rsid w:val="00DF0104"/>
    <w:rsid w:val="00DF0F50"/>
    <w:rsid w:val="00DF2309"/>
    <w:rsid w:val="00DF28DC"/>
    <w:rsid w:val="00DF38D4"/>
    <w:rsid w:val="00DF3915"/>
    <w:rsid w:val="00DF44AC"/>
    <w:rsid w:val="00DF4CE2"/>
    <w:rsid w:val="00E0168F"/>
    <w:rsid w:val="00E020BD"/>
    <w:rsid w:val="00E11FC4"/>
    <w:rsid w:val="00E12071"/>
    <w:rsid w:val="00E12660"/>
    <w:rsid w:val="00E12838"/>
    <w:rsid w:val="00E15BBF"/>
    <w:rsid w:val="00E15ECD"/>
    <w:rsid w:val="00E23F00"/>
    <w:rsid w:val="00E26A0F"/>
    <w:rsid w:val="00E318D4"/>
    <w:rsid w:val="00E339EE"/>
    <w:rsid w:val="00E3557A"/>
    <w:rsid w:val="00E4014C"/>
    <w:rsid w:val="00E401FC"/>
    <w:rsid w:val="00E42D1B"/>
    <w:rsid w:val="00E46FAB"/>
    <w:rsid w:val="00E474DC"/>
    <w:rsid w:val="00E50B5A"/>
    <w:rsid w:val="00E52890"/>
    <w:rsid w:val="00E53EE3"/>
    <w:rsid w:val="00E55EA9"/>
    <w:rsid w:val="00E56307"/>
    <w:rsid w:val="00E56D55"/>
    <w:rsid w:val="00E56F52"/>
    <w:rsid w:val="00E57F76"/>
    <w:rsid w:val="00E60696"/>
    <w:rsid w:val="00E62028"/>
    <w:rsid w:val="00E6393C"/>
    <w:rsid w:val="00E67E51"/>
    <w:rsid w:val="00E76877"/>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46B"/>
    <w:rsid w:val="00EB06C6"/>
    <w:rsid w:val="00EB1B47"/>
    <w:rsid w:val="00EB46E1"/>
    <w:rsid w:val="00EB7BD6"/>
    <w:rsid w:val="00EC20FD"/>
    <w:rsid w:val="00EC2EF8"/>
    <w:rsid w:val="00EC3DAC"/>
    <w:rsid w:val="00EC42FF"/>
    <w:rsid w:val="00EC5A73"/>
    <w:rsid w:val="00EC6217"/>
    <w:rsid w:val="00ED3B7C"/>
    <w:rsid w:val="00ED3D0C"/>
    <w:rsid w:val="00ED4AEF"/>
    <w:rsid w:val="00ED570E"/>
    <w:rsid w:val="00ED5CFE"/>
    <w:rsid w:val="00ED7476"/>
    <w:rsid w:val="00EE005A"/>
    <w:rsid w:val="00EE05CF"/>
    <w:rsid w:val="00EE10AE"/>
    <w:rsid w:val="00EE2DA2"/>
    <w:rsid w:val="00EE4290"/>
    <w:rsid w:val="00EE589E"/>
    <w:rsid w:val="00EE58CA"/>
    <w:rsid w:val="00EE76D0"/>
    <w:rsid w:val="00EF1185"/>
    <w:rsid w:val="00EF133F"/>
    <w:rsid w:val="00EF137F"/>
    <w:rsid w:val="00EF754D"/>
    <w:rsid w:val="00F027E9"/>
    <w:rsid w:val="00F07014"/>
    <w:rsid w:val="00F0775E"/>
    <w:rsid w:val="00F15F69"/>
    <w:rsid w:val="00F1612D"/>
    <w:rsid w:val="00F173DD"/>
    <w:rsid w:val="00F21119"/>
    <w:rsid w:val="00F25164"/>
    <w:rsid w:val="00F26D3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2C5C"/>
    <w:rsid w:val="00F64CD4"/>
    <w:rsid w:val="00F658EE"/>
    <w:rsid w:val="00F65AB2"/>
    <w:rsid w:val="00F66364"/>
    <w:rsid w:val="00F66C47"/>
    <w:rsid w:val="00F672E9"/>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6B9"/>
    <w:rsid w:val="00F93A23"/>
    <w:rsid w:val="00F9541D"/>
    <w:rsid w:val="00FA0403"/>
    <w:rsid w:val="00FA2A14"/>
    <w:rsid w:val="00FA597D"/>
    <w:rsid w:val="00FA5B9A"/>
    <w:rsid w:val="00FB01B9"/>
    <w:rsid w:val="00FB763A"/>
    <w:rsid w:val="00FB79C0"/>
    <w:rsid w:val="00FC0ACA"/>
    <w:rsid w:val="00FC2EB8"/>
    <w:rsid w:val="00FC5C43"/>
    <w:rsid w:val="00FD1598"/>
    <w:rsid w:val="00FD576E"/>
    <w:rsid w:val="00FD596B"/>
    <w:rsid w:val="00FE58CC"/>
    <w:rsid w:val="00FE75A9"/>
    <w:rsid w:val="00FF058D"/>
    <w:rsid w:val="00FF1766"/>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626D2"/>
  <w15:docId w15:val="{B78429B1-549E-4D70-A902-34AD8C37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1546"/>
    <w:rPr>
      <w:lang w:val="en-US" w:eastAsia="en-US"/>
    </w:rPr>
  </w:style>
  <w:style w:type="paragraph" w:styleId="Ttulo1">
    <w:name w:val="heading 1"/>
    <w:basedOn w:val="Normal"/>
    <w:next w:val="Normal"/>
    <w:qFormat/>
    <w:rsid w:val="00C15A56"/>
    <w:pPr>
      <w:keepNext/>
      <w:spacing w:line="480" w:lineRule="auto"/>
      <w:jc w:val="center"/>
      <w:outlineLvl w:val="0"/>
    </w:pPr>
    <w:rPr>
      <w:b/>
      <w:bCs/>
    </w:rPr>
  </w:style>
  <w:style w:type="paragraph" w:styleId="Ttulo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DB3D8C"/>
    <w:pPr>
      <w:keepNext/>
      <w:spacing w:before="240" w:after="60"/>
      <w:outlineLvl w:val="2"/>
    </w:pPr>
    <w:rPr>
      <w:rFonts w:ascii="Arial" w:hAnsi="Arial" w:cs="Arial"/>
      <w:b/>
      <w:bCs/>
      <w:sz w:val="26"/>
      <w:szCs w:val="26"/>
    </w:rPr>
  </w:style>
  <w:style w:type="paragraph" w:styleId="Ttulo4">
    <w:name w:val="heading 4"/>
    <w:basedOn w:val="Normal"/>
    <w:next w:val="Normal"/>
    <w:qFormat/>
    <w:rsid w:val="004710EE"/>
    <w:pPr>
      <w:keepNext/>
      <w:spacing w:before="240" w:after="60"/>
      <w:outlineLvl w:val="3"/>
    </w:pPr>
    <w:rPr>
      <w:b/>
      <w:bCs/>
      <w:sz w:val="28"/>
      <w:szCs w:val="28"/>
    </w:rPr>
  </w:style>
  <w:style w:type="paragraph" w:styleId="Ttulo5">
    <w:name w:val="heading 5"/>
    <w:basedOn w:val="Normal"/>
    <w:next w:val="Normal"/>
    <w:qFormat/>
    <w:rsid w:val="00DB3D8C"/>
    <w:pPr>
      <w:spacing w:before="240" w:after="60"/>
      <w:outlineLvl w:val="4"/>
    </w:pPr>
    <w:rPr>
      <w:b/>
      <w:bCs/>
      <w:i/>
      <w:iCs/>
      <w:sz w:val="26"/>
      <w:szCs w:val="26"/>
    </w:rPr>
  </w:style>
  <w:style w:type="paragraph" w:styleId="Ttulo6">
    <w:name w:val="heading 6"/>
    <w:basedOn w:val="Normal"/>
    <w:next w:val="Normal"/>
    <w:qFormat/>
    <w:rsid w:val="00097958"/>
    <w:pPr>
      <w:keepNext/>
      <w:jc w:val="center"/>
      <w:outlineLvl w:val="5"/>
    </w:pPr>
    <w:rPr>
      <w:b/>
      <w:bCs/>
      <w:i/>
      <w:iCs/>
      <w:u w:val="single"/>
    </w:rPr>
  </w:style>
  <w:style w:type="paragraph" w:styleId="Ttulo7">
    <w:name w:val="heading 7"/>
    <w:basedOn w:val="Normal"/>
    <w:next w:val="Normal"/>
    <w:qFormat/>
    <w:rsid w:val="00DB3D8C"/>
    <w:pPr>
      <w:spacing w:before="240" w:after="60"/>
      <w:outlineLvl w:val="6"/>
    </w:pPr>
    <w:rPr>
      <w:sz w:val="24"/>
      <w:szCs w:val="24"/>
    </w:rPr>
  </w:style>
  <w:style w:type="paragraph" w:styleId="Ttulo8">
    <w:name w:val="heading 8"/>
    <w:basedOn w:val="Normal"/>
    <w:next w:val="Normal"/>
    <w:qFormat/>
    <w:rsid w:val="00097958"/>
    <w:pPr>
      <w:keepNext/>
      <w:outlineLvl w:val="7"/>
    </w:pPr>
    <w:rPr>
      <w:b/>
      <w:bCs/>
      <w:lang w:val="pl-PL" w:eastAsia="pl-PL"/>
    </w:rPr>
  </w:style>
  <w:style w:type="paragraph" w:styleId="Ttulo9">
    <w:name w:val="heading 9"/>
    <w:basedOn w:val="Normal"/>
    <w:next w:val="Normal"/>
    <w:qFormat/>
    <w:rsid w:val="00097958"/>
    <w:pPr>
      <w:keepNext/>
      <w:ind w:right="-4041"/>
      <w:outlineLvl w:val="8"/>
    </w:pPr>
    <w:rPr>
      <w:b/>
      <w:bCs/>
      <w:lang w:val="en-AU" w:eastAsia="pl-P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02A61"/>
    <w:rPr>
      <w:color w:val="0000FF"/>
      <w:u w:val="single"/>
    </w:rPr>
  </w:style>
  <w:style w:type="paragraph" w:styleId="Encabezado">
    <w:name w:val="header"/>
    <w:basedOn w:val="Normal"/>
    <w:link w:val="EncabezadoCar"/>
    <w:rsid w:val="0094367D"/>
    <w:pPr>
      <w:tabs>
        <w:tab w:val="center" w:pos="4320"/>
        <w:tab w:val="right" w:pos="8640"/>
      </w:tabs>
    </w:pPr>
  </w:style>
  <w:style w:type="paragraph" w:styleId="Piedepgina">
    <w:name w:val="footer"/>
    <w:basedOn w:val="Normal"/>
    <w:rsid w:val="0094367D"/>
    <w:pPr>
      <w:tabs>
        <w:tab w:val="center" w:pos="4320"/>
        <w:tab w:val="right" w:pos="8640"/>
      </w:tabs>
    </w:pPr>
  </w:style>
  <w:style w:type="character" w:styleId="Nmerodepgina">
    <w:name w:val="page number"/>
    <w:basedOn w:val="Fuentedeprrafopredeter"/>
    <w:rsid w:val="0094367D"/>
  </w:style>
  <w:style w:type="paragraph" w:styleId="Textodeglobo">
    <w:name w:val="Balloon Text"/>
    <w:basedOn w:val="Normal"/>
    <w:semiHidden/>
    <w:rsid w:val="00061D77"/>
    <w:rPr>
      <w:rFonts w:ascii="Tahoma" w:hAnsi="Tahoma"/>
      <w:sz w:val="16"/>
      <w:szCs w:val="16"/>
    </w:rPr>
  </w:style>
  <w:style w:type="paragraph" w:styleId="Sangradetextonormal">
    <w:name w:val="Body Text Indent"/>
    <w:basedOn w:val="Normal"/>
    <w:rsid w:val="00C15A56"/>
    <w:pPr>
      <w:spacing w:line="360" w:lineRule="auto"/>
      <w:ind w:left="456" w:firstLine="984"/>
      <w:jc w:val="both"/>
    </w:pPr>
    <w:rPr>
      <w:lang w:val="id-ID"/>
    </w:rPr>
  </w:style>
  <w:style w:type="paragraph" w:styleId="Sangra2detindependiente">
    <w:name w:val="Body Text Indent 2"/>
    <w:basedOn w:val="Normal"/>
    <w:rsid w:val="00C15A56"/>
    <w:pPr>
      <w:spacing w:after="120" w:line="480" w:lineRule="auto"/>
      <w:ind w:left="360"/>
    </w:pPr>
  </w:style>
  <w:style w:type="paragraph" w:styleId="Textoindependiente">
    <w:name w:val="Body Text"/>
    <w:basedOn w:val="Normal"/>
    <w:rsid w:val="00C15A56"/>
    <w:pPr>
      <w:spacing w:after="120"/>
    </w:pPr>
    <w:rPr>
      <w:lang w:val="id-ID" w:eastAsia="id-ID"/>
    </w:rPr>
  </w:style>
  <w:style w:type="paragraph" w:styleId="Descripcin">
    <w:name w:val="caption"/>
    <w:basedOn w:val="Normal"/>
    <w:next w:val="Normal"/>
    <w:qFormat/>
    <w:rsid w:val="00C15A56"/>
    <w:pPr>
      <w:spacing w:line="480" w:lineRule="auto"/>
      <w:jc w:val="center"/>
    </w:pPr>
    <w:rPr>
      <w:i/>
      <w:iCs/>
    </w:rPr>
  </w:style>
  <w:style w:type="character" w:styleId="Refdenotaalpie">
    <w:name w:val="footnote reference"/>
    <w:basedOn w:val="Fuentedeprrafopredeter"/>
    <w:semiHidden/>
    <w:rsid w:val="00FA0403"/>
    <w:rPr>
      <w:vertAlign w:val="superscript"/>
    </w:rPr>
  </w:style>
  <w:style w:type="paragraph" w:styleId="Textonotapi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a">
    <w:name w:val="List"/>
    <w:basedOn w:val="Normal"/>
    <w:rsid w:val="00DA0390"/>
    <w:pPr>
      <w:ind w:left="360" w:hanging="360"/>
      <w:jc w:val="center"/>
    </w:pPr>
    <w:rPr>
      <w:sz w:val="24"/>
      <w:szCs w:val="24"/>
    </w:rPr>
  </w:style>
  <w:style w:type="paragraph" w:styleId="Sangra3detindependiente">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xtoindependiente2">
    <w:name w:val="Body Text 2"/>
    <w:basedOn w:val="Normal"/>
    <w:rsid w:val="005E736A"/>
    <w:pPr>
      <w:spacing w:after="120" w:line="480" w:lineRule="auto"/>
    </w:pPr>
  </w:style>
  <w:style w:type="paragraph" w:styleId="Ttulo">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Fuentedeprrafopredete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osinformato">
    <w:name w:val="Plain Text"/>
    <w:basedOn w:val="Normal"/>
    <w:semiHidden/>
    <w:rsid w:val="00097958"/>
    <w:rPr>
      <w:rFonts w:ascii="Courier New" w:eastAsia="BatangChe" w:hAnsi="Courier New"/>
      <w:sz w:val="24"/>
      <w:szCs w:val="24"/>
    </w:rPr>
  </w:style>
  <w:style w:type="character" w:customStyle="1" w:styleId="CharChar">
    <w:name w:val="Char Char"/>
    <w:basedOn w:val="Fuentedeprrafopredeter"/>
    <w:rsid w:val="00097958"/>
    <w:rPr>
      <w:rFonts w:ascii="Courier New" w:eastAsia="BatangChe" w:hAnsi="Courier New"/>
      <w:sz w:val="24"/>
      <w:szCs w:val="24"/>
      <w:lang w:val="en-US" w:eastAsia="en-US"/>
    </w:rPr>
  </w:style>
  <w:style w:type="paragraph" w:styleId="Subttulo">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Textoennegrita">
    <w:name w:val="Strong"/>
    <w:basedOn w:val="Fuentedeprrafopredeter"/>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nfasis">
    <w:name w:val="Emphasis"/>
    <w:basedOn w:val="Fuentedeprrafopredeter"/>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Fuentedeprrafopredeter"/>
    <w:rsid w:val="007017C6"/>
  </w:style>
  <w:style w:type="character" w:customStyle="1" w:styleId="longtext">
    <w:name w:val="long_text"/>
    <w:basedOn w:val="Fuentedeprrafopredeter"/>
    <w:rsid w:val="004947B9"/>
  </w:style>
  <w:style w:type="character" w:customStyle="1" w:styleId="apple-style-span">
    <w:name w:val="apple-style-span"/>
    <w:basedOn w:val="Fuentedeprrafopredeter"/>
    <w:rsid w:val="00C35B8F"/>
  </w:style>
  <w:style w:type="character" w:customStyle="1" w:styleId="apple-converted-space">
    <w:name w:val="apple-converted-space"/>
    <w:basedOn w:val="Fuentedeprrafopredeter"/>
    <w:rsid w:val="00C35B8F"/>
  </w:style>
  <w:style w:type="paragraph" w:styleId="HTMLconformatoprevio">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rafodelista">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inespaciado">
    <w:name w:val="No Spacing"/>
    <w:qFormat/>
    <w:rsid w:val="00C35B8F"/>
    <w:rPr>
      <w:rFonts w:ascii="Calibri" w:eastAsia="Calibri" w:hAnsi="Calibri"/>
      <w:sz w:val="22"/>
      <w:szCs w:val="22"/>
      <w:lang w:val="en-US" w:eastAsia="en-US"/>
    </w:rPr>
  </w:style>
  <w:style w:type="character" w:customStyle="1" w:styleId="hps">
    <w:name w:val="hps"/>
    <w:basedOn w:val="Fuentedeprrafopredeter"/>
    <w:rsid w:val="008F05B8"/>
  </w:style>
  <w:style w:type="character" w:customStyle="1" w:styleId="st">
    <w:name w:val="st"/>
    <w:basedOn w:val="Fuentedeprrafopredeter"/>
    <w:rsid w:val="002F7316"/>
  </w:style>
  <w:style w:type="character" w:customStyle="1" w:styleId="EncabezadoCar">
    <w:name w:val="Encabezado Car"/>
    <w:basedOn w:val="Fuentedeprrafopredeter"/>
    <w:link w:val="Encabezado"/>
    <w:rsid w:val="000213C3"/>
    <w:rPr>
      <w:lang w:val="en-US" w:eastAsia="en-US"/>
    </w:rPr>
  </w:style>
  <w:style w:type="paragraph" w:customStyle="1" w:styleId="Normal1">
    <w:name w:val="Normal1"/>
    <w:rsid w:val="006564D2"/>
    <w:pPr>
      <w:spacing w:after="160" w:line="259" w:lineRule="auto"/>
    </w:pPr>
    <w:rPr>
      <w:rFonts w:ascii="Calibri" w:eastAsia="Calibri" w:hAnsi="Calibri" w:cs="Calibri"/>
      <w:sz w:val="22"/>
      <w:szCs w:val="22"/>
      <w:lang w:val="en-US" w:eastAsia="en-US"/>
    </w:rPr>
  </w:style>
  <w:style w:type="table" w:customStyle="1" w:styleId="2">
    <w:name w:val="2"/>
    <w:basedOn w:val="Tablanormal"/>
    <w:rsid w:val="00BF5CBF"/>
    <w:rPr>
      <w:lang w:val="en-US" w:eastAsia="es-CO"/>
    </w:rPr>
    <w:tblPr>
      <w:tblStyleRowBandSize w:val="1"/>
      <w:tblStyleColBandSize w:val="1"/>
      <w:tblCellMar>
        <w:left w:w="115" w:type="dxa"/>
        <w:right w:w="115" w:type="dxa"/>
      </w:tblCellMar>
    </w:tblPr>
  </w:style>
  <w:style w:type="table" w:customStyle="1" w:styleId="3">
    <w:name w:val="3"/>
    <w:basedOn w:val="Tablanormal"/>
    <w:rsid w:val="000A140A"/>
    <w:rPr>
      <w:lang w:val="en-US" w:eastAsia="es-C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jimenez@itm.edu.co"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E0FC-1BE2-4F59-9FA2-7A81458E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4611</Words>
  <Characters>25363</Characters>
  <Application>Microsoft Office Word</Application>
  <DocSecurity>0</DocSecurity>
  <Lines>211</Lines>
  <Paragraphs>59</Paragraphs>
  <ScaleCrop>false</ScaleCrop>
  <HeadingPairs>
    <vt:vector size="6" baseType="variant">
      <vt:variant>
        <vt:lpstr>Título</vt:lpstr>
      </vt:variant>
      <vt:variant>
        <vt:i4>1</vt:i4>
      </vt:variant>
      <vt:variant>
        <vt:lpstr>Title</vt:lpstr>
      </vt:variant>
      <vt:variant>
        <vt:i4>1</vt:i4>
      </vt:variant>
      <vt:variant>
        <vt:lpstr>Headings</vt:lpstr>
      </vt:variant>
      <vt:variant>
        <vt:i4>3</vt:i4>
      </vt:variant>
    </vt:vector>
  </HeadingPairs>
  <TitlesOfParts>
    <vt:vector size="5" baseType="lpstr">
      <vt:lpstr>TELKOMNIKA</vt:lpstr>
      <vt:lpstr>TELKOMNIKA</vt:lpstr>
      <vt:lpstr>        Edited book:</vt:lpstr>
      <vt:lpstr>        </vt:lpstr>
      <vt:lpstr>        Chapter in a book:</vt:lpstr>
    </vt:vector>
  </TitlesOfParts>
  <Company>cairo</Company>
  <LinksUpToDate>false</LinksUpToDate>
  <CharactersWithSpaces>29915</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subject/>
  <dc:creator>Talenta</dc:creator>
  <cp:keywords/>
  <dc:description/>
  <cp:lastModifiedBy>MIGUEL JIMÉNEZ</cp:lastModifiedBy>
  <cp:revision>3</cp:revision>
  <cp:lastPrinted>2004-12-30T03:27:00Z</cp:lastPrinted>
  <dcterms:created xsi:type="dcterms:W3CDTF">2019-12-03T15:34:00Z</dcterms:created>
  <dcterms:modified xsi:type="dcterms:W3CDTF">2019-12-03T15:34:00Z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752d8769-5837-3dd5-ac62-e9d5bc8297b1</vt:lpwstr>
  </property>
</Properties>
</file>