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A4B" w:rsidRDefault="00D12A4B" w:rsidP="005F4EE8">
      <w:pPr>
        <w:pStyle w:val="Title"/>
        <w:rPr>
          <w:rFonts w:ascii="Arial" w:hAnsi="Arial" w:cs="Arial"/>
          <w:sz w:val="32"/>
          <w:szCs w:val="32"/>
          <w:lang w:val="en-US"/>
        </w:rPr>
      </w:pPr>
    </w:p>
    <w:p w:rsidR="00D12A4B" w:rsidRPr="00D12A4B" w:rsidRDefault="00D12A4B" w:rsidP="00D12A4B">
      <w:pPr>
        <w:autoSpaceDE w:val="0"/>
        <w:autoSpaceDN w:val="0"/>
        <w:adjustRightInd w:val="0"/>
        <w:jc w:val="center"/>
        <w:rPr>
          <w:rFonts w:ascii="Arial" w:hAnsi="Arial" w:cs="Arial"/>
          <w:b/>
          <w:bCs/>
          <w:sz w:val="32"/>
          <w:szCs w:val="32"/>
        </w:rPr>
      </w:pPr>
      <w:r w:rsidRPr="00D12A4B">
        <w:rPr>
          <w:rFonts w:ascii="Arial" w:hAnsi="Arial" w:cs="Arial"/>
          <w:b/>
          <w:bCs/>
          <w:sz w:val="32"/>
          <w:szCs w:val="32"/>
        </w:rPr>
        <w:t>Classification Of The Mainstay Economic Region</w:t>
      </w:r>
      <w:r w:rsidRPr="00D12A4B">
        <w:rPr>
          <w:rFonts w:ascii="Arial" w:hAnsi="Arial" w:cs="Arial"/>
          <w:sz w:val="32"/>
          <w:szCs w:val="32"/>
        </w:rPr>
        <w:t xml:space="preserve"> </w:t>
      </w:r>
      <w:r w:rsidRPr="00D12A4B">
        <w:rPr>
          <w:rFonts w:ascii="Arial" w:hAnsi="Arial" w:cs="Arial"/>
          <w:b/>
          <w:bCs/>
          <w:sz w:val="32"/>
          <w:szCs w:val="32"/>
        </w:rPr>
        <w:t>Using</w:t>
      </w:r>
      <w:r w:rsidRPr="00D12A4B">
        <w:rPr>
          <w:rFonts w:ascii="Arial" w:hAnsi="Arial" w:cs="Arial"/>
          <w:sz w:val="32"/>
          <w:szCs w:val="32"/>
        </w:rPr>
        <w:t xml:space="preserve"> </w:t>
      </w:r>
      <w:r w:rsidRPr="00D12A4B">
        <w:rPr>
          <w:rFonts w:ascii="Arial" w:hAnsi="Arial" w:cs="Arial"/>
          <w:b/>
          <w:bCs/>
          <w:sz w:val="32"/>
          <w:szCs w:val="32"/>
        </w:rPr>
        <w:t>Decision Tree</w:t>
      </w:r>
      <w:r w:rsidRPr="00D12A4B">
        <w:rPr>
          <w:rFonts w:ascii="Arial" w:hAnsi="Arial" w:cs="Arial"/>
          <w:sz w:val="32"/>
          <w:szCs w:val="32"/>
        </w:rPr>
        <w:t xml:space="preserve"> </w:t>
      </w:r>
      <w:r w:rsidRPr="00D12A4B">
        <w:rPr>
          <w:rFonts w:ascii="Arial" w:hAnsi="Arial" w:cs="Arial"/>
          <w:b/>
          <w:bCs/>
          <w:sz w:val="32"/>
          <w:szCs w:val="32"/>
        </w:rPr>
        <w:t>Method</w:t>
      </w:r>
    </w:p>
    <w:p w:rsidR="00D12A4B" w:rsidRPr="00D12A4B" w:rsidRDefault="00D12A4B" w:rsidP="005F4EE8">
      <w:pPr>
        <w:pStyle w:val="Title"/>
        <w:rPr>
          <w:rFonts w:ascii="Arial" w:hAnsi="Arial" w:cs="Arial"/>
          <w:caps/>
          <w:sz w:val="32"/>
          <w:szCs w:val="32"/>
          <w:lang w:val="en-US"/>
        </w:rPr>
      </w:pPr>
    </w:p>
    <w:p w:rsidR="00D12A4B" w:rsidRDefault="00D12A4B" w:rsidP="005F4EE8">
      <w:pPr>
        <w:jc w:val="center"/>
        <w:rPr>
          <w:rFonts w:ascii="Arial" w:hAnsi="Arial" w:cs="Arial"/>
          <w:b/>
          <w:bCs/>
        </w:rPr>
      </w:pPr>
    </w:p>
    <w:p w:rsidR="00D12A4B" w:rsidRPr="00D12A4B" w:rsidRDefault="00D12A4B" w:rsidP="00D12A4B">
      <w:pPr>
        <w:autoSpaceDE w:val="0"/>
        <w:autoSpaceDN w:val="0"/>
        <w:adjustRightInd w:val="0"/>
        <w:jc w:val="center"/>
        <w:rPr>
          <w:rFonts w:ascii="Arial" w:hAnsi="Arial" w:cs="Arial"/>
          <w:b/>
          <w:bCs/>
          <w:vertAlign w:val="superscript"/>
        </w:rPr>
      </w:pPr>
      <w:r w:rsidRPr="00D12A4B">
        <w:rPr>
          <w:rFonts w:ascii="Arial" w:hAnsi="Arial" w:cs="Arial"/>
          <w:b/>
          <w:bCs/>
        </w:rPr>
        <w:t>Heru Ismanto</w:t>
      </w:r>
      <w:r w:rsidRPr="00D12A4B">
        <w:rPr>
          <w:rFonts w:ascii="Arial" w:hAnsi="Arial" w:cs="Arial"/>
          <w:b/>
          <w:bCs/>
          <w:vertAlign w:val="superscript"/>
        </w:rPr>
        <w:t>1*</w:t>
      </w:r>
      <w:r w:rsidRPr="00D12A4B">
        <w:rPr>
          <w:rFonts w:ascii="Arial" w:hAnsi="Arial" w:cs="Arial"/>
          <w:b/>
          <w:bCs/>
        </w:rPr>
        <w:t xml:space="preserve"> Azhari Azhari</w:t>
      </w:r>
      <w:r w:rsidRPr="00D12A4B">
        <w:rPr>
          <w:rFonts w:ascii="Arial" w:hAnsi="Arial" w:cs="Arial"/>
          <w:b/>
          <w:bCs/>
          <w:vertAlign w:val="superscript"/>
        </w:rPr>
        <w:t>2</w:t>
      </w:r>
      <w:r w:rsidRPr="00D12A4B">
        <w:rPr>
          <w:rFonts w:ascii="Arial" w:hAnsi="Arial" w:cs="Arial"/>
          <w:b/>
          <w:bCs/>
        </w:rPr>
        <w:t xml:space="preserve"> Suharto Suharto</w:t>
      </w:r>
      <w:r w:rsidRPr="00D12A4B">
        <w:rPr>
          <w:rFonts w:ascii="Arial" w:hAnsi="Arial" w:cs="Arial"/>
          <w:b/>
          <w:bCs/>
          <w:vertAlign w:val="superscript"/>
        </w:rPr>
        <w:t>2</w:t>
      </w:r>
      <w:r w:rsidRPr="00D12A4B">
        <w:rPr>
          <w:rFonts w:ascii="Arial" w:hAnsi="Arial" w:cs="Arial"/>
          <w:b/>
          <w:bCs/>
        </w:rPr>
        <w:t xml:space="preserve"> Lincolin Arsyad</w:t>
      </w:r>
      <w:r w:rsidRPr="00D12A4B">
        <w:rPr>
          <w:rFonts w:ascii="Arial" w:hAnsi="Arial" w:cs="Arial"/>
          <w:b/>
          <w:bCs/>
          <w:vertAlign w:val="superscript"/>
        </w:rPr>
        <w:t>3</w:t>
      </w:r>
    </w:p>
    <w:p w:rsidR="00157F2B" w:rsidRDefault="00157F2B" w:rsidP="005F4EE8">
      <w:pPr>
        <w:jc w:val="center"/>
        <w:rPr>
          <w:rFonts w:ascii="Arial" w:hAnsi="Arial" w:cs="Arial"/>
          <w:sz w:val="18"/>
          <w:szCs w:val="18"/>
        </w:rPr>
      </w:pPr>
    </w:p>
    <w:p w:rsidR="00157F2B" w:rsidRPr="00157F2B" w:rsidRDefault="00157F2B" w:rsidP="00157F2B">
      <w:pPr>
        <w:pStyle w:val="Default"/>
        <w:jc w:val="center"/>
        <w:rPr>
          <w:rFonts w:ascii="Arial" w:hAnsi="Arial" w:cs="Arial"/>
          <w:sz w:val="18"/>
          <w:szCs w:val="18"/>
        </w:rPr>
      </w:pPr>
      <w:r w:rsidRPr="00157F2B">
        <w:rPr>
          <w:rFonts w:ascii="Arial" w:hAnsi="Arial" w:cs="Arial"/>
          <w:bCs/>
          <w:sz w:val="18"/>
          <w:szCs w:val="18"/>
          <w:vertAlign w:val="superscript"/>
        </w:rPr>
        <w:t>1</w:t>
      </w:r>
      <w:r w:rsidRPr="00157F2B">
        <w:rPr>
          <w:rFonts w:ascii="Arial" w:hAnsi="Arial" w:cs="Arial"/>
          <w:sz w:val="18"/>
          <w:szCs w:val="18"/>
        </w:rPr>
        <w:t xml:space="preserve">Department of Computer Science and Electronics, Faculty of Mathematics and Natural Science, </w:t>
      </w:r>
    </w:p>
    <w:p w:rsidR="00157F2B" w:rsidRPr="00157F2B" w:rsidRDefault="00157F2B" w:rsidP="00157F2B">
      <w:pPr>
        <w:pStyle w:val="Default"/>
        <w:jc w:val="center"/>
        <w:rPr>
          <w:rFonts w:ascii="Arial" w:eastAsiaTheme="minorEastAsia" w:hAnsi="Arial" w:cs="Arial"/>
          <w:sz w:val="18"/>
          <w:szCs w:val="18"/>
        </w:rPr>
      </w:pPr>
      <w:r w:rsidRPr="00157F2B">
        <w:rPr>
          <w:rFonts w:ascii="Arial" w:hAnsi="Arial" w:cs="Arial"/>
          <w:sz w:val="18"/>
          <w:szCs w:val="18"/>
        </w:rPr>
        <w:t>Universitas Gadjah Mada, Yogyakarta, Indonesia</w:t>
      </w:r>
    </w:p>
    <w:p w:rsidR="00157F2B" w:rsidRPr="00157F2B" w:rsidRDefault="00157F2B" w:rsidP="00157F2B">
      <w:pPr>
        <w:pStyle w:val="Default"/>
        <w:jc w:val="center"/>
        <w:rPr>
          <w:rFonts w:ascii="Arial" w:hAnsi="Arial" w:cs="Arial"/>
          <w:sz w:val="18"/>
          <w:szCs w:val="18"/>
        </w:rPr>
      </w:pPr>
      <w:r w:rsidRPr="00157F2B">
        <w:rPr>
          <w:rFonts w:ascii="Arial" w:hAnsi="Arial" w:cs="Arial"/>
          <w:bCs/>
          <w:sz w:val="18"/>
          <w:szCs w:val="18"/>
          <w:vertAlign w:val="superscript"/>
        </w:rPr>
        <w:t>1</w:t>
      </w:r>
      <w:r w:rsidRPr="00157F2B">
        <w:rPr>
          <w:rFonts w:ascii="Arial" w:hAnsi="Arial" w:cs="Arial"/>
          <w:sz w:val="18"/>
          <w:szCs w:val="18"/>
        </w:rPr>
        <w:t>Department of Informatics Engineering, Faculty of Engineering, Musamus University, Merauke, Indonesia</w:t>
      </w:r>
    </w:p>
    <w:p w:rsidR="00157F2B" w:rsidRPr="00157F2B" w:rsidRDefault="00157F2B" w:rsidP="00157F2B">
      <w:pPr>
        <w:pStyle w:val="Default"/>
        <w:jc w:val="center"/>
        <w:rPr>
          <w:rFonts w:ascii="Arial" w:eastAsiaTheme="minorEastAsia" w:hAnsi="Arial" w:cs="Arial"/>
          <w:sz w:val="18"/>
          <w:szCs w:val="18"/>
        </w:rPr>
      </w:pPr>
      <w:r w:rsidRPr="00157F2B">
        <w:rPr>
          <w:rFonts w:ascii="Arial" w:hAnsi="Arial" w:cs="Arial"/>
          <w:sz w:val="18"/>
          <w:szCs w:val="18"/>
          <w:vertAlign w:val="superscript"/>
        </w:rPr>
        <w:t>2</w:t>
      </w:r>
      <w:r w:rsidRPr="00157F2B">
        <w:rPr>
          <w:rFonts w:ascii="Arial" w:hAnsi="Arial" w:cs="Arial"/>
          <w:sz w:val="18"/>
          <w:szCs w:val="18"/>
        </w:rPr>
        <w:t>Department of Computer Science and Electronics, Faculty of Mathematics and Natural Science, Universitas Gadjah Mada, Yogyakarta, Indonesia</w:t>
      </w:r>
    </w:p>
    <w:p w:rsidR="00157F2B" w:rsidRDefault="00157F2B" w:rsidP="00157F2B">
      <w:pPr>
        <w:jc w:val="center"/>
        <w:rPr>
          <w:rFonts w:ascii="Arial" w:eastAsia="Calibri" w:hAnsi="Arial" w:cs="Arial"/>
          <w:sz w:val="18"/>
          <w:szCs w:val="18"/>
        </w:rPr>
      </w:pPr>
      <w:r w:rsidRPr="00157F2B">
        <w:rPr>
          <w:rFonts w:ascii="Arial" w:eastAsia="Calibri" w:hAnsi="Arial" w:cs="Arial"/>
          <w:sz w:val="18"/>
          <w:szCs w:val="18"/>
          <w:vertAlign w:val="superscript"/>
        </w:rPr>
        <w:t>3</w:t>
      </w:r>
      <w:r w:rsidRPr="00157F2B">
        <w:rPr>
          <w:rFonts w:ascii="Arial" w:eastAsia="Calibri" w:hAnsi="Arial" w:cs="Arial"/>
          <w:sz w:val="18"/>
          <w:szCs w:val="18"/>
        </w:rPr>
        <w:t>Department of Economics, Faculty of Economics and Business, Universitas Gadjah Mada, Yogyakarta, Indonesia</w:t>
      </w:r>
    </w:p>
    <w:p w:rsidR="00157F2B" w:rsidRPr="00157F2B" w:rsidRDefault="00157F2B" w:rsidP="00157F2B">
      <w:pPr>
        <w:jc w:val="center"/>
        <w:rPr>
          <w:rFonts w:ascii="Arial" w:eastAsia="Calibri" w:hAnsi="Arial" w:cs="Arial"/>
          <w:sz w:val="18"/>
          <w:szCs w:val="18"/>
        </w:rPr>
      </w:pPr>
    </w:p>
    <w:p w:rsidR="00157F2B" w:rsidRPr="00157F2B" w:rsidRDefault="00157F2B" w:rsidP="00157F2B">
      <w:pPr>
        <w:autoSpaceDE w:val="0"/>
        <w:autoSpaceDN w:val="0"/>
        <w:adjustRightInd w:val="0"/>
        <w:jc w:val="center"/>
        <w:rPr>
          <w:rFonts w:ascii="Arial" w:hAnsi="Arial" w:cs="Arial"/>
          <w:bCs/>
          <w:sz w:val="18"/>
          <w:szCs w:val="18"/>
        </w:rPr>
      </w:pPr>
      <w:r w:rsidRPr="00157F2B">
        <w:rPr>
          <w:rFonts w:ascii="Arial" w:hAnsi="Arial" w:cs="Arial"/>
          <w:color w:val="000000"/>
          <w:sz w:val="18"/>
          <w:szCs w:val="18"/>
        </w:rPr>
        <w:t xml:space="preserve"> * Corresponding author’s Email: </w:t>
      </w:r>
      <w:r w:rsidRPr="00157F2B">
        <w:rPr>
          <w:rFonts w:ascii="Arial" w:hAnsi="Arial" w:cs="Arial"/>
          <w:bCs/>
          <w:sz w:val="18"/>
          <w:szCs w:val="18"/>
        </w:rPr>
        <w:t>heru@unmus.ac.id</w:t>
      </w:r>
    </w:p>
    <w:p w:rsidR="00157F2B" w:rsidRPr="00F66364" w:rsidRDefault="00157F2B" w:rsidP="005F4EE8">
      <w:pPr>
        <w:jc w:val="center"/>
        <w:rPr>
          <w:rFonts w:ascii="Arial" w:hAnsi="Arial" w:cs="Arial"/>
          <w:sz w:val="18"/>
          <w:szCs w:val="18"/>
        </w:rPr>
      </w:pP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lang w:val="id-ID"/>
        </w:rPr>
      </w:pPr>
    </w:p>
    <w:p w:rsidR="005F4EE8" w:rsidRDefault="005F4EE8" w:rsidP="005F4EE8">
      <w:pPr>
        <w:jc w:val="center"/>
        <w:rPr>
          <w:rFonts w:ascii="Arial" w:hAnsi="Arial" w:cs="Arial"/>
          <w:b/>
          <w:bCs/>
          <w:i/>
          <w:iCs/>
          <w:color w:val="000000"/>
        </w:rPr>
      </w:pPr>
      <w:r w:rsidRPr="004D78C2">
        <w:rPr>
          <w:rFonts w:ascii="Arial" w:hAnsi="Arial" w:cs="Arial"/>
          <w:b/>
          <w:bCs/>
          <w:i/>
          <w:iCs/>
          <w:color w:val="000000"/>
        </w:rPr>
        <w:t>Abstract</w:t>
      </w:r>
    </w:p>
    <w:p w:rsidR="00157F2B" w:rsidRDefault="00157F2B" w:rsidP="005F4EE8">
      <w:pPr>
        <w:jc w:val="center"/>
        <w:rPr>
          <w:rFonts w:ascii="Arial" w:hAnsi="Arial" w:cs="Arial"/>
          <w:color w:val="000000"/>
          <w:sz w:val="24"/>
          <w:szCs w:val="24"/>
        </w:rPr>
      </w:pPr>
    </w:p>
    <w:p w:rsidR="00157F2B" w:rsidRPr="00A705CE" w:rsidRDefault="00157F2B" w:rsidP="00157F2B">
      <w:pPr>
        <w:spacing w:line="259" w:lineRule="auto"/>
        <w:ind w:firstLine="720"/>
        <w:jc w:val="both"/>
        <w:rPr>
          <w:rFonts w:ascii="Arial" w:hAnsi="Arial" w:cs="Arial"/>
          <w:i/>
          <w:sz w:val="18"/>
          <w:szCs w:val="18"/>
        </w:rPr>
      </w:pPr>
      <w:r w:rsidRPr="00A705CE">
        <w:rPr>
          <w:rFonts w:ascii="Arial" w:hAnsi="Arial" w:cs="Arial"/>
          <w:i/>
          <w:sz w:val="18"/>
          <w:szCs w:val="18"/>
        </w:rPr>
        <w:t xml:space="preserve">The development of the region cannot be separated from the concept of economic growth and the determination of the mainstay region as a regional center that is expected to have a positive impact on economic growth to the surrounding regions. In fact, the determination of the mainstay region is a difficult thing to do. Some cases of the determination of the mainstay region are mostly on the basis of the prerogative rights of the policy makers without carefully seeing the achievements of the development of a region. The objective of this study is to develop a classification model of the mainstay economic region using computational techniques. The decision tree methods of NBTree and J48 are used in this study and combined with Klassen typology. The results of this study show that J48 algorithm has better accuracy than NBTree in the formation process of decision tree. The accuracy of J48 is higher than NBTree i.e. 68.96%. The comparative result of the classification of the mainstay economic region between Klassen and J48 shows that there is a shift in the class position of the development quadrant. In Klassen classification, there are three regions that are categorized into the mainstay regions with advanced development and rapid growth (K1). Meanwhile, J48 results show that there is no region categorized into K1. However, the mainstay economic region on J48 is based on the level of development with the level below K1, i.e. K2. J48 classification results show that there are ten regencies that are categorized into the mainstay economic regions, namely Biak, Regency of Jayapura, Jayawijaya, Kerom, Merauke, Mimika, Nabire, Ndunga, Yapen, and the Municipality of Jayapura. </w:t>
      </w:r>
    </w:p>
    <w:p w:rsidR="00157F2B" w:rsidRPr="004D78C2" w:rsidRDefault="00157F2B" w:rsidP="005F4EE8">
      <w:pPr>
        <w:jc w:val="center"/>
        <w:rPr>
          <w:rFonts w:ascii="Arial" w:hAnsi="Arial" w:cs="Arial"/>
          <w:color w:val="000000"/>
          <w:sz w:val="24"/>
          <w:szCs w:val="24"/>
        </w:rPr>
      </w:pPr>
    </w:p>
    <w:p w:rsidR="005F4EE8" w:rsidRPr="00157F2B" w:rsidRDefault="005F4EE8" w:rsidP="005F4EE8">
      <w:pPr>
        <w:ind w:firstLine="720"/>
        <w:jc w:val="both"/>
        <w:rPr>
          <w:rFonts w:ascii="Arial" w:hAnsi="Arial" w:cs="Arial"/>
          <w:i/>
          <w:iCs/>
          <w:color w:val="000000"/>
          <w:sz w:val="18"/>
          <w:szCs w:val="18"/>
        </w:rPr>
      </w:pPr>
      <w:r w:rsidRPr="00157F2B">
        <w:rPr>
          <w:rFonts w:ascii="Arial" w:hAnsi="Arial" w:cs="Arial"/>
          <w:i/>
          <w:iCs/>
          <w:color w:val="000000"/>
          <w:sz w:val="18"/>
          <w:szCs w:val="18"/>
        </w:rPr>
        <w:t> </w:t>
      </w:r>
    </w:p>
    <w:p w:rsidR="005F4EE8" w:rsidRPr="00157F2B" w:rsidRDefault="005F4EE8" w:rsidP="005F4EE8">
      <w:pPr>
        <w:rPr>
          <w:rFonts w:ascii="Arial" w:hAnsi="Arial" w:cs="Arial"/>
          <w:color w:val="000000"/>
          <w:sz w:val="18"/>
          <w:szCs w:val="18"/>
        </w:rPr>
      </w:pPr>
      <w:r w:rsidRPr="00157F2B">
        <w:rPr>
          <w:rFonts w:ascii="Arial" w:hAnsi="Arial" w:cs="Arial"/>
          <w:b/>
          <w:bCs/>
          <w:i/>
          <w:iCs/>
          <w:color w:val="000000"/>
          <w:sz w:val="18"/>
          <w:szCs w:val="18"/>
        </w:rPr>
        <w:t>Keywords</w:t>
      </w:r>
      <w:r w:rsidRPr="00157F2B">
        <w:rPr>
          <w:rFonts w:ascii="Arial" w:hAnsi="Arial" w:cs="Arial"/>
          <w:i/>
          <w:iCs/>
          <w:color w:val="000000"/>
          <w:sz w:val="18"/>
          <w:szCs w:val="18"/>
        </w:rPr>
        <w:t xml:space="preserve">: </w:t>
      </w:r>
      <w:r w:rsidR="00157F2B" w:rsidRPr="00157F2B">
        <w:rPr>
          <w:rFonts w:ascii="Arial" w:hAnsi="Arial" w:cs="Arial"/>
          <w:sz w:val="18"/>
          <w:szCs w:val="18"/>
        </w:rPr>
        <w:t>Mainstay Region, Klassen, Decision Tree, NBTree, J48.</w:t>
      </w:r>
    </w:p>
    <w:p w:rsidR="002F7316" w:rsidRDefault="005F4EE8" w:rsidP="002F7316">
      <w:pPr>
        <w:ind w:left="360"/>
        <w:rPr>
          <w:rFonts w:ascii="Arial" w:hAnsi="Arial" w:cs="Arial"/>
          <w:color w:val="000000"/>
        </w:rPr>
      </w:pPr>
      <w:r w:rsidRPr="004D78C2">
        <w:rPr>
          <w:rFonts w:ascii="Arial" w:hAnsi="Arial" w:cs="Arial"/>
          <w:color w:val="000000"/>
        </w:rPr>
        <w:t> </w:t>
      </w:r>
      <w:r w:rsidR="002F7316" w:rsidRPr="004D78C2">
        <w:rPr>
          <w:rFonts w:ascii="Arial" w:hAnsi="Arial" w:cs="Arial"/>
          <w:color w:val="000000"/>
        </w:rPr>
        <w:t>  </w:t>
      </w:r>
    </w:p>
    <w:p w:rsidR="002F7316" w:rsidRDefault="002F7316" w:rsidP="002F7316">
      <w:pPr>
        <w:ind w:left="360"/>
        <w:jc w:val="right"/>
        <w:rPr>
          <w:sz w:val="18"/>
          <w:szCs w:val="18"/>
        </w:rPr>
      </w:pPr>
      <w:r w:rsidRPr="004D78C2">
        <w:rPr>
          <w:rFonts w:ascii="Arial" w:hAnsi="Arial" w:cs="Arial"/>
          <w:b/>
          <w:i/>
          <w:sz w:val="18"/>
          <w:szCs w:val="18"/>
        </w:rPr>
        <w:t xml:space="preserve">Copyright </w:t>
      </w:r>
      <w:r w:rsidRPr="004D78C2">
        <w:rPr>
          <w:rStyle w:val="st"/>
          <w:rFonts w:ascii="Arial" w:hAnsi="Arial" w:cs="Arial"/>
          <w:sz w:val="18"/>
          <w:szCs w:val="18"/>
        </w:rPr>
        <w:t xml:space="preserve">© </w:t>
      </w:r>
      <w:r w:rsidRPr="004D78C2">
        <w:rPr>
          <w:rFonts w:ascii="Arial" w:hAnsi="Arial" w:cs="Arial"/>
          <w:b/>
          <w:i/>
          <w:sz w:val="18"/>
          <w:szCs w:val="18"/>
        </w:rPr>
        <w:t>201</w:t>
      </w:r>
      <w:r w:rsidR="00CB60BD">
        <w:rPr>
          <w:rFonts w:ascii="Arial" w:hAnsi="Arial" w:cs="Arial"/>
          <w:b/>
          <w:i/>
          <w:sz w:val="18"/>
          <w:szCs w:val="18"/>
        </w:rPr>
        <w:t>6</w:t>
      </w:r>
      <w:r w:rsidRPr="004D78C2">
        <w:rPr>
          <w:rFonts w:ascii="Arial" w:hAnsi="Arial" w:cs="Arial"/>
          <w:b/>
          <w:i/>
          <w:sz w:val="18"/>
          <w:szCs w:val="18"/>
        </w:rPr>
        <w:t xml:space="preserve"> </w:t>
      </w:r>
      <w:r w:rsidR="004D78C2">
        <w:rPr>
          <w:rFonts w:ascii="Arial" w:hAnsi="Arial" w:cs="Arial"/>
          <w:b/>
          <w:i/>
          <w:sz w:val="18"/>
          <w:szCs w:val="18"/>
        </w:rPr>
        <w:t>Institute of Advanced Engineering and Science</w:t>
      </w:r>
      <w:r w:rsidRPr="004D78C2">
        <w:rPr>
          <w:rFonts w:ascii="Arial" w:hAnsi="Arial" w:cs="Arial"/>
          <w:b/>
          <w:i/>
          <w:sz w:val="18"/>
          <w:szCs w:val="18"/>
        </w:rPr>
        <w:t>. All rights reserved.</w:t>
      </w:r>
    </w:p>
    <w:p w:rsidR="002F7316" w:rsidRDefault="002F7316" w:rsidP="002F7316">
      <w:pPr>
        <w:ind w:left="360"/>
        <w:rPr>
          <w:rFonts w:ascii="Arial" w:hAnsi="Arial" w:cs="Arial"/>
          <w:b/>
          <w:bCs/>
          <w:sz w:val="16"/>
        </w:rPr>
      </w:pPr>
    </w:p>
    <w:p w:rsidR="002F7316" w:rsidRPr="00357FBD" w:rsidRDefault="002F7316" w:rsidP="002F7316">
      <w:pPr>
        <w:ind w:left="360"/>
        <w:rPr>
          <w:rFonts w:ascii="Arial" w:hAnsi="Arial" w:cs="Arial"/>
          <w:b/>
          <w:bCs/>
        </w:rPr>
      </w:pPr>
    </w:p>
    <w:p w:rsidR="00157F2B" w:rsidRPr="00357FBD" w:rsidRDefault="00157F2B" w:rsidP="00157F2B">
      <w:pPr>
        <w:pStyle w:val="ListParagraph"/>
        <w:numPr>
          <w:ilvl w:val="0"/>
          <w:numId w:val="15"/>
        </w:numPr>
        <w:autoSpaceDE w:val="0"/>
        <w:autoSpaceDN w:val="0"/>
        <w:adjustRightInd w:val="0"/>
        <w:spacing w:after="120" w:line="240" w:lineRule="auto"/>
        <w:ind w:left="360"/>
        <w:contextualSpacing w:val="0"/>
        <w:jc w:val="both"/>
        <w:rPr>
          <w:rFonts w:ascii="Arial" w:hAnsi="Arial" w:cs="Arial"/>
          <w:b/>
          <w:sz w:val="20"/>
          <w:szCs w:val="20"/>
        </w:rPr>
      </w:pPr>
      <w:r w:rsidRPr="00357FBD">
        <w:rPr>
          <w:rFonts w:ascii="Arial" w:hAnsi="Arial" w:cs="Arial"/>
          <w:b/>
          <w:sz w:val="20"/>
          <w:szCs w:val="20"/>
        </w:rPr>
        <w:t>Introduction</w:t>
      </w:r>
    </w:p>
    <w:p w:rsidR="00157F2B" w:rsidRPr="00357FBD" w:rsidRDefault="00157F2B" w:rsidP="00157F2B">
      <w:pPr>
        <w:spacing w:line="259" w:lineRule="auto"/>
        <w:ind w:firstLine="360"/>
        <w:jc w:val="both"/>
        <w:rPr>
          <w:rFonts w:ascii="Arial" w:hAnsi="Arial" w:cs="Arial"/>
        </w:rPr>
      </w:pPr>
      <w:r w:rsidRPr="00357FBD">
        <w:rPr>
          <w:rFonts w:ascii="Arial" w:hAnsi="Arial" w:cs="Arial"/>
        </w:rPr>
        <w:t xml:space="preserve">The mainstay economic region is an region used as a barometer of the economic growth of a region so that it becomes the economic support for other regions. The determination of the mainstay economic region is usually conducted by looking at the achievements of the relevant regional development based on the data of gross regional domestic sector (GRDP). There are some approaches used to determine the mainstay economic region; one of them is Klassen typology. Klassen typology classifies the regions into four development quadrants. Quadrant I is a developed and rapid growth regions; Quadrant II is an advanced but depressed region, Quadrant III is a potential or developing region; and Quadrant IV is a relatively lagging region [1]. By seeing an region categorized into a particular development quadrant, the region which is </w:t>
      </w:r>
      <w:r w:rsidRPr="00357FBD">
        <w:rPr>
          <w:rFonts w:ascii="Arial" w:hAnsi="Arial" w:cs="Arial"/>
        </w:rPr>
        <w:lastRenderedPageBreak/>
        <w:t xml:space="preserve">the mainstay economic region can be identified. The regions categorized into Quadrant I are usually used as the main mainstay economic region by the local government, the quadrant-II region becomes the second-level mainstay economic region, whereas the regions categorized into Quadrant III and IV are not categorized as a mainstay economic region. It means that those regions should be prioritized in further development activities. </w:t>
      </w:r>
    </w:p>
    <w:p w:rsidR="00157F2B" w:rsidRPr="00357FBD" w:rsidRDefault="00157F2B" w:rsidP="00157F2B">
      <w:pPr>
        <w:spacing w:line="259" w:lineRule="auto"/>
        <w:ind w:firstLine="360"/>
        <w:jc w:val="both"/>
        <w:rPr>
          <w:rFonts w:ascii="Arial" w:hAnsi="Arial" w:cs="Arial"/>
        </w:rPr>
      </w:pPr>
      <w:r w:rsidRPr="00357FBD">
        <w:rPr>
          <w:rFonts w:ascii="Arial" w:hAnsi="Arial" w:cs="Arial"/>
        </w:rPr>
        <w:t xml:space="preserve">Theoretically, Klassen is able to identify the mainstay economic region based on the results of the Gross Regional Domestic Product (GRDP) sector data clustering by looking at the development quadrant formed. However, the stages of clustering are very rigid and do not pay attention to the characteristics of the data and the distance between the data of its GRDP [2]. In addition, the clustering of the mainstay region with Klassen always selects the overall attributes of GRDP sector data owned by a region as a whole. Therefore, it takes much time to classify the mainstay economic region. This study was conducted in an attempt to provide an alternative approach to classify the mainstay economic region using decision tree computation technique. Decision Tree is formed from a set of data that form a smaller subset and interconnect between one to another attribute which form decision tree structure. In the process of forming a decision tree, it need the calculation of gain value to divide data with the same or similar instances into smaller subsets. Afterwards, the gain value calculation result is used to calculate the entropy value. This entropy value is used to determine which primary attributes are selected as the determinant of data classification, followed by other attributes that are arranged according to their entropy values. In clustering the mainstay economic region using Klassen, all attributes are seen as the same. Meanwhile, when it uses the decision tree, there is a selection of classified determinant attributes that are sorted by entropy value calculations repeatedly. This is what Klassen cannot do. </w:t>
      </w:r>
    </w:p>
    <w:p w:rsidR="00157F2B" w:rsidRPr="00357FBD" w:rsidRDefault="00157F2B" w:rsidP="002F7316">
      <w:pPr>
        <w:ind w:left="360"/>
        <w:rPr>
          <w:rFonts w:ascii="Arial" w:hAnsi="Arial" w:cs="Arial"/>
          <w:b/>
          <w:bCs/>
        </w:rPr>
      </w:pPr>
    </w:p>
    <w:p w:rsidR="00157F2B" w:rsidRPr="00357FBD" w:rsidRDefault="00157F2B" w:rsidP="00157F2B">
      <w:pPr>
        <w:pStyle w:val="ListParagraph"/>
        <w:numPr>
          <w:ilvl w:val="0"/>
          <w:numId w:val="15"/>
        </w:numPr>
        <w:autoSpaceDE w:val="0"/>
        <w:autoSpaceDN w:val="0"/>
        <w:adjustRightInd w:val="0"/>
        <w:spacing w:beforeLines="100" w:before="240" w:afterLines="50" w:after="120" w:line="240" w:lineRule="auto"/>
        <w:ind w:left="360"/>
        <w:contextualSpacing w:val="0"/>
        <w:jc w:val="both"/>
        <w:rPr>
          <w:rFonts w:ascii="Arial" w:hAnsi="Arial" w:cs="Arial"/>
          <w:b/>
          <w:bCs/>
          <w:sz w:val="20"/>
          <w:szCs w:val="20"/>
        </w:rPr>
      </w:pPr>
      <w:r w:rsidRPr="00357FBD">
        <w:rPr>
          <w:rFonts w:ascii="Arial" w:hAnsi="Arial" w:cs="Arial"/>
          <w:b/>
          <w:bCs/>
          <w:sz w:val="20"/>
          <w:szCs w:val="20"/>
        </w:rPr>
        <w:t xml:space="preserve">Decision Tree </w:t>
      </w:r>
    </w:p>
    <w:p w:rsidR="00157F2B" w:rsidRPr="00357FBD" w:rsidRDefault="00157F2B" w:rsidP="00157F2B">
      <w:pPr>
        <w:spacing w:line="259" w:lineRule="auto"/>
        <w:ind w:firstLine="567"/>
        <w:jc w:val="both"/>
        <w:rPr>
          <w:rFonts w:ascii="Arial" w:hAnsi="Arial" w:cs="Arial"/>
        </w:rPr>
      </w:pPr>
      <w:r w:rsidRPr="00357FBD">
        <w:rPr>
          <w:rFonts w:ascii="Arial" w:hAnsi="Arial" w:cs="Arial"/>
        </w:rPr>
        <w:t>Decision tree is one of the data classification techniques that makes decision tree structure more easily understood [3]. Each internal node represents testing of an attribute, each branch represents output of the testing, and the leaf node represents classes or class distributions [4, 5]. The topmost node is called root node. The root node will have some exiting edges, but it does not have an incoming edge. The internal node will have one incoming edge and some exiting edges. Meanwhile, the leaf node will only have one incoming edge and no exiting edge.</w:t>
      </w:r>
    </w:p>
    <w:p w:rsidR="00157F2B" w:rsidRPr="00357FBD" w:rsidRDefault="00157F2B" w:rsidP="00157F2B">
      <w:pPr>
        <w:pStyle w:val="Default"/>
        <w:ind w:firstLine="567"/>
        <w:jc w:val="both"/>
        <w:rPr>
          <w:rFonts w:ascii="Arial" w:hAnsi="Arial" w:cs="Arial"/>
          <w:sz w:val="20"/>
          <w:szCs w:val="20"/>
        </w:rPr>
      </w:pPr>
      <w:r w:rsidRPr="00357FBD">
        <w:rPr>
          <w:rFonts w:ascii="Arial" w:hAnsi="Arial" w:cs="Arial"/>
          <w:sz w:val="20"/>
          <w:szCs w:val="20"/>
        </w:rPr>
        <w:t xml:space="preserve">The decision tree is used to classify an unknown class sample into existing classes. The data test path will firstly go through the root node and finally go through the leaf node that will infer the class predictions of the data. The data attribute must be a categorical data; if it is continuous, the attribute must be discretized first [4]. </w:t>
      </w:r>
    </w:p>
    <w:p w:rsidR="00157F2B" w:rsidRPr="00357FBD" w:rsidRDefault="00157F2B" w:rsidP="00157F2B">
      <w:pPr>
        <w:spacing w:line="259" w:lineRule="auto"/>
        <w:ind w:firstLine="330"/>
        <w:jc w:val="both"/>
        <w:rPr>
          <w:rFonts w:ascii="Arial" w:hAnsi="Arial" w:cs="Arial"/>
        </w:rPr>
      </w:pPr>
      <w:r w:rsidRPr="00357FBD">
        <w:rPr>
          <w:rFonts w:ascii="Arial" w:hAnsi="Arial" w:cs="Arial"/>
        </w:rPr>
        <w:t xml:space="preserve">This technique is widely used for classification of student exam passing grade [6, 7] identification of the risk of trauma in childbirth through patient data classification [8] as well as the classification of regional development level [9]. The followings are the explanation of NBTree and J48 techniques used in this study. </w:t>
      </w:r>
    </w:p>
    <w:p w:rsidR="00157F2B" w:rsidRPr="00357FBD" w:rsidRDefault="00157F2B" w:rsidP="00157F2B">
      <w:pPr>
        <w:spacing w:line="259" w:lineRule="auto"/>
        <w:ind w:firstLine="330"/>
        <w:jc w:val="both"/>
        <w:rPr>
          <w:rFonts w:ascii="Arial" w:hAnsi="Arial" w:cs="Arial"/>
        </w:rPr>
      </w:pPr>
    </w:p>
    <w:p w:rsidR="00157F2B" w:rsidRPr="00357FBD" w:rsidRDefault="00157F2B" w:rsidP="00157F2B">
      <w:pPr>
        <w:pStyle w:val="ListParagraph"/>
        <w:numPr>
          <w:ilvl w:val="0"/>
          <w:numId w:val="16"/>
        </w:numPr>
        <w:tabs>
          <w:tab w:val="left" w:pos="426"/>
        </w:tabs>
        <w:spacing w:after="0" w:line="259" w:lineRule="auto"/>
        <w:ind w:left="284" w:hanging="284"/>
        <w:jc w:val="both"/>
        <w:rPr>
          <w:rFonts w:ascii="Arial" w:hAnsi="Arial" w:cs="Arial"/>
          <w:sz w:val="20"/>
          <w:szCs w:val="20"/>
        </w:rPr>
      </w:pPr>
      <w:r w:rsidRPr="00357FBD">
        <w:rPr>
          <w:rFonts w:ascii="Arial" w:hAnsi="Arial" w:cs="Arial"/>
          <w:b/>
          <w:bCs/>
          <w:sz w:val="20"/>
          <w:szCs w:val="20"/>
        </w:rPr>
        <w:t>NBTree Algorithm</w:t>
      </w:r>
    </w:p>
    <w:p w:rsidR="00157F2B" w:rsidRPr="00357FBD" w:rsidRDefault="00157F2B" w:rsidP="00157F2B">
      <w:pPr>
        <w:spacing w:line="259" w:lineRule="auto"/>
        <w:ind w:firstLine="284"/>
        <w:jc w:val="both"/>
        <w:rPr>
          <w:rFonts w:ascii="Arial" w:hAnsi="Arial" w:cs="Arial"/>
        </w:rPr>
      </w:pPr>
      <w:r w:rsidRPr="00357FBD">
        <w:rPr>
          <w:rFonts w:ascii="Arial" w:hAnsi="Arial" w:cs="Arial"/>
        </w:rPr>
        <w:t>NBTree uses the frequency of a class appearing in the formation of a decision tree from a set of data. A study [10] states that the NBTree algorithm uses the Naive Bayes method to determine a leave tree while generating a decision tree. Below are the NBTree algorithms:</w:t>
      </w:r>
    </w:p>
    <w:p w:rsidR="00157F2B" w:rsidRPr="00357FBD" w:rsidRDefault="00157F2B" w:rsidP="00157F2B">
      <w:pPr>
        <w:pStyle w:val="ListParagraph"/>
        <w:numPr>
          <w:ilvl w:val="0"/>
          <w:numId w:val="17"/>
        </w:numPr>
        <w:spacing w:after="0" w:line="240" w:lineRule="auto"/>
        <w:ind w:left="567" w:hanging="567"/>
        <w:jc w:val="both"/>
        <w:rPr>
          <w:rFonts w:ascii="Arial" w:hAnsi="Arial" w:cs="Arial"/>
          <w:sz w:val="20"/>
          <w:szCs w:val="20"/>
        </w:rPr>
      </w:pPr>
      <w:r w:rsidRPr="00357FBD">
        <w:rPr>
          <w:rFonts w:ascii="Arial" w:hAnsi="Arial" w:cs="Arial"/>
          <w:sz w:val="20"/>
          <w:szCs w:val="20"/>
        </w:rPr>
        <w:t xml:space="preserve">Determine the initial conditions. </w:t>
      </w:r>
    </w:p>
    <w:p w:rsidR="00157F2B" w:rsidRPr="00357FBD" w:rsidRDefault="00157F2B" w:rsidP="00157F2B">
      <w:pPr>
        <w:pStyle w:val="ListParagraph"/>
        <w:numPr>
          <w:ilvl w:val="0"/>
          <w:numId w:val="17"/>
        </w:numPr>
        <w:spacing w:after="0" w:line="240" w:lineRule="auto"/>
        <w:ind w:left="567" w:hanging="567"/>
        <w:jc w:val="both"/>
        <w:rPr>
          <w:rFonts w:ascii="Arial" w:hAnsi="Arial" w:cs="Arial"/>
          <w:sz w:val="20"/>
          <w:szCs w:val="20"/>
        </w:rPr>
      </w:pPr>
      <w:r w:rsidRPr="00357FBD">
        <w:rPr>
          <w:rFonts w:ascii="Arial" w:hAnsi="Arial" w:cs="Arial"/>
          <w:sz w:val="20"/>
          <w:szCs w:val="20"/>
        </w:rPr>
        <w:t xml:space="preserve">Classify the data and calculate the value of spited node. </w:t>
      </w:r>
    </w:p>
    <w:p w:rsidR="00157F2B" w:rsidRPr="00357FBD" w:rsidRDefault="00157F2B" w:rsidP="00157F2B">
      <w:pPr>
        <w:pStyle w:val="ListParagraph"/>
        <w:numPr>
          <w:ilvl w:val="0"/>
          <w:numId w:val="17"/>
        </w:numPr>
        <w:spacing w:after="0" w:line="240" w:lineRule="auto"/>
        <w:ind w:left="567" w:hanging="567"/>
        <w:jc w:val="both"/>
        <w:rPr>
          <w:rFonts w:ascii="Arial" w:hAnsi="Arial" w:cs="Arial"/>
          <w:sz w:val="20"/>
          <w:szCs w:val="20"/>
        </w:rPr>
      </w:pPr>
      <w:r w:rsidRPr="00357FBD">
        <w:rPr>
          <w:rFonts w:ascii="Arial" w:hAnsi="Arial" w:cs="Arial"/>
          <w:sz w:val="20"/>
          <w:szCs w:val="20"/>
        </w:rPr>
        <w:t>Trim the tree that has been formed to evaluate the optimal tree and cross-validation error.</w:t>
      </w:r>
    </w:p>
    <w:p w:rsidR="00157F2B" w:rsidRPr="00357FBD" w:rsidRDefault="00157F2B" w:rsidP="00157F2B">
      <w:pPr>
        <w:pStyle w:val="ListParagraph"/>
        <w:numPr>
          <w:ilvl w:val="0"/>
          <w:numId w:val="17"/>
        </w:numPr>
        <w:spacing w:after="0" w:line="240" w:lineRule="auto"/>
        <w:ind w:left="567" w:hanging="567"/>
        <w:jc w:val="both"/>
        <w:rPr>
          <w:rFonts w:ascii="Arial" w:hAnsi="Arial" w:cs="Arial"/>
          <w:sz w:val="20"/>
          <w:szCs w:val="20"/>
        </w:rPr>
      </w:pPr>
      <w:r w:rsidRPr="00357FBD">
        <w:rPr>
          <w:rFonts w:ascii="Arial" w:hAnsi="Arial" w:cs="Arial"/>
          <w:sz w:val="20"/>
          <w:szCs w:val="20"/>
        </w:rPr>
        <w:t xml:space="preserve">Try it out using the test data of the tree and identify the terminal node based on the test data. </w:t>
      </w:r>
    </w:p>
    <w:p w:rsidR="00157F2B" w:rsidRPr="00357FBD" w:rsidRDefault="00157F2B" w:rsidP="00157F2B">
      <w:pPr>
        <w:pStyle w:val="ListParagraph"/>
        <w:numPr>
          <w:ilvl w:val="0"/>
          <w:numId w:val="17"/>
        </w:numPr>
        <w:spacing w:after="0" w:line="240" w:lineRule="auto"/>
        <w:ind w:left="567" w:hanging="567"/>
        <w:jc w:val="both"/>
        <w:rPr>
          <w:rFonts w:ascii="Arial" w:hAnsi="Arial" w:cs="Arial"/>
          <w:sz w:val="20"/>
          <w:szCs w:val="20"/>
        </w:rPr>
      </w:pPr>
      <w:r w:rsidRPr="00357FBD">
        <w:rPr>
          <w:rFonts w:ascii="Arial" w:hAnsi="Arial" w:cs="Arial"/>
          <w:sz w:val="20"/>
          <w:szCs w:val="20"/>
        </w:rPr>
        <w:t xml:space="preserve">Predict one step ahead using Naive Bayes at the generated terminal node. </w:t>
      </w:r>
    </w:p>
    <w:p w:rsidR="00157F2B" w:rsidRPr="00357FBD" w:rsidRDefault="00157F2B" w:rsidP="00157F2B">
      <w:pPr>
        <w:spacing w:line="259" w:lineRule="auto"/>
        <w:ind w:firstLine="567"/>
        <w:jc w:val="both"/>
        <w:rPr>
          <w:rFonts w:ascii="Arial" w:hAnsi="Arial" w:cs="Arial"/>
        </w:rPr>
      </w:pPr>
      <w:r w:rsidRPr="00357FBD">
        <w:rPr>
          <w:rFonts w:ascii="Arial" w:hAnsi="Arial" w:cs="Arial"/>
        </w:rPr>
        <w:lastRenderedPageBreak/>
        <w:t>By assigning a set of instances to a node, the NBTree algorithm will evaluate the utility of split for each attribute. If the largest utility of all attributes is higher than the utility of the current node, the division of existing instances will be based on those attributes [11].</w:t>
      </w:r>
    </w:p>
    <w:p w:rsidR="00157F2B" w:rsidRPr="00357FBD" w:rsidRDefault="00157F2B" w:rsidP="00157F2B">
      <w:pPr>
        <w:spacing w:line="259" w:lineRule="auto"/>
        <w:ind w:firstLine="567"/>
        <w:jc w:val="both"/>
        <w:rPr>
          <w:rFonts w:ascii="Arial" w:hAnsi="Arial" w:cs="Arial"/>
          <w:color w:val="FF0000"/>
        </w:rPr>
      </w:pPr>
      <w:r w:rsidRPr="00357FBD">
        <w:rPr>
          <w:rFonts w:ascii="Arial" w:hAnsi="Arial" w:cs="Arial"/>
        </w:rPr>
        <w:t>The utility of node is calculated by discretizing the existing data and calculating the estimation of 5-fold cross validation accuracy of the naïve-bayes usage at the node. Meanwhile, the utility of split is the weighted amount of the utility of node, where the weights assigned to a node are proportional to the number of instances derived by that node. The division is set up significantly if the relative reduction to error is better than 5% and there are at least 30 instances in the node. This is to avoid any division by small values [11].</w:t>
      </w:r>
    </w:p>
    <w:p w:rsidR="00157F2B" w:rsidRPr="00357FBD" w:rsidRDefault="00157F2B" w:rsidP="00157F2B">
      <w:pPr>
        <w:spacing w:line="259" w:lineRule="auto"/>
        <w:ind w:firstLine="567"/>
        <w:jc w:val="both"/>
        <w:rPr>
          <w:rFonts w:ascii="Arial" w:hAnsi="Arial" w:cs="Arial"/>
        </w:rPr>
      </w:pPr>
      <w:r w:rsidRPr="00357FBD">
        <w:rPr>
          <w:rFonts w:ascii="Arial" w:hAnsi="Arial" w:cs="Arial"/>
        </w:rPr>
        <w:t>An NBTree classifier specifies the class label of an instance by sorting it into a leaf and applying Naïve-Bayes in the leaf. The NBTree often achieves a higher degree of accuracy when compared to Naïve Bayesian classifier [12].</w:t>
      </w:r>
    </w:p>
    <w:p w:rsidR="00157F2B" w:rsidRPr="00357FBD" w:rsidRDefault="00157F2B" w:rsidP="002F7316">
      <w:pPr>
        <w:ind w:left="360"/>
        <w:rPr>
          <w:rFonts w:ascii="Arial" w:hAnsi="Arial" w:cs="Arial"/>
          <w:b/>
          <w:bCs/>
        </w:rPr>
      </w:pPr>
    </w:p>
    <w:p w:rsidR="00157F2B" w:rsidRPr="00357FBD" w:rsidRDefault="00157F2B" w:rsidP="00157F2B">
      <w:pPr>
        <w:pStyle w:val="ListParagraph"/>
        <w:numPr>
          <w:ilvl w:val="0"/>
          <w:numId w:val="16"/>
        </w:numPr>
        <w:tabs>
          <w:tab w:val="left" w:pos="426"/>
        </w:tabs>
        <w:spacing w:line="259" w:lineRule="auto"/>
        <w:ind w:left="284" w:hanging="284"/>
        <w:jc w:val="both"/>
        <w:rPr>
          <w:rFonts w:ascii="Arial" w:hAnsi="Arial" w:cs="Arial"/>
          <w:sz w:val="20"/>
          <w:szCs w:val="20"/>
        </w:rPr>
      </w:pPr>
      <w:r w:rsidRPr="00357FBD">
        <w:rPr>
          <w:rFonts w:ascii="Arial" w:hAnsi="Arial" w:cs="Arial"/>
          <w:b/>
          <w:bCs/>
          <w:sz w:val="20"/>
          <w:szCs w:val="20"/>
        </w:rPr>
        <w:t xml:space="preserve"> J48 Algorithm</w:t>
      </w:r>
    </w:p>
    <w:p w:rsidR="00157F2B" w:rsidRPr="00357FBD" w:rsidRDefault="00157F2B" w:rsidP="00157F2B">
      <w:pPr>
        <w:spacing w:line="259" w:lineRule="auto"/>
        <w:ind w:firstLine="284"/>
        <w:jc w:val="both"/>
        <w:rPr>
          <w:rFonts w:ascii="Arial" w:hAnsi="Arial" w:cs="Arial"/>
        </w:rPr>
      </w:pPr>
      <w:r w:rsidRPr="00357FBD">
        <w:rPr>
          <w:rFonts w:ascii="Arial" w:hAnsi="Arial" w:cs="Arial"/>
        </w:rPr>
        <w:t xml:space="preserve">The J48 algorithm is the result of the development of ID3 technique [13] and the determination of the decision tree root is conducted by looking at the gain and the ratio of the gain of an attribute. Below are the J48 algorithms: </w:t>
      </w:r>
    </w:p>
    <w:p w:rsidR="00157F2B" w:rsidRPr="00357FBD" w:rsidRDefault="00157F2B" w:rsidP="00157F2B">
      <w:pPr>
        <w:pStyle w:val="ListParagraph"/>
        <w:numPr>
          <w:ilvl w:val="0"/>
          <w:numId w:val="18"/>
        </w:numPr>
        <w:spacing w:after="0" w:line="240" w:lineRule="auto"/>
        <w:ind w:left="567" w:hanging="567"/>
        <w:jc w:val="both"/>
        <w:rPr>
          <w:rFonts w:ascii="Arial" w:hAnsi="Arial" w:cs="Arial"/>
          <w:sz w:val="20"/>
          <w:szCs w:val="20"/>
        </w:rPr>
      </w:pPr>
      <w:r w:rsidRPr="00357FBD">
        <w:rPr>
          <w:rFonts w:ascii="Arial" w:hAnsi="Arial" w:cs="Arial"/>
          <w:sz w:val="20"/>
          <w:szCs w:val="20"/>
        </w:rPr>
        <w:t xml:space="preserve">Select an attribute as a root </w:t>
      </w:r>
    </w:p>
    <w:p w:rsidR="00157F2B" w:rsidRPr="00357FBD" w:rsidRDefault="00157F2B" w:rsidP="00157F2B">
      <w:pPr>
        <w:pStyle w:val="ListParagraph"/>
        <w:numPr>
          <w:ilvl w:val="0"/>
          <w:numId w:val="18"/>
        </w:numPr>
        <w:spacing w:after="0" w:line="240" w:lineRule="auto"/>
        <w:ind w:left="567" w:hanging="567"/>
        <w:jc w:val="both"/>
        <w:rPr>
          <w:rFonts w:ascii="Arial" w:hAnsi="Arial" w:cs="Arial"/>
          <w:sz w:val="20"/>
          <w:szCs w:val="20"/>
        </w:rPr>
      </w:pPr>
      <w:r w:rsidRPr="00357FBD">
        <w:rPr>
          <w:rFonts w:ascii="Arial" w:hAnsi="Arial" w:cs="Arial"/>
          <w:sz w:val="20"/>
          <w:szCs w:val="20"/>
        </w:rPr>
        <w:t xml:space="preserve">Create a branch for each value </w:t>
      </w:r>
    </w:p>
    <w:p w:rsidR="00157F2B" w:rsidRPr="00357FBD" w:rsidRDefault="00157F2B" w:rsidP="00157F2B">
      <w:pPr>
        <w:pStyle w:val="ListParagraph"/>
        <w:numPr>
          <w:ilvl w:val="0"/>
          <w:numId w:val="18"/>
        </w:numPr>
        <w:spacing w:after="0" w:line="240" w:lineRule="auto"/>
        <w:ind w:left="567" w:hanging="567"/>
        <w:jc w:val="both"/>
        <w:rPr>
          <w:rFonts w:ascii="Arial" w:hAnsi="Arial" w:cs="Arial"/>
          <w:sz w:val="20"/>
          <w:szCs w:val="20"/>
        </w:rPr>
      </w:pPr>
      <w:r w:rsidRPr="00357FBD">
        <w:rPr>
          <w:rFonts w:ascii="Arial" w:hAnsi="Arial" w:cs="Arial"/>
          <w:sz w:val="20"/>
          <w:szCs w:val="20"/>
        </w:rPr>
        <w:t xml:space="preserve">Divide the cases to the branches </w:t>
      </w:r>
    </w:p>
    <w:p w:rsidR="00157F2B" w:rsidRPr="00357FBD" w:rsidRDefault="00157F2B" w:rsidP="00157F2B">
      <w:pPr>
        <w:pStyle w:val="ListParagraph"/>
        <w:numPr>
          <w:ilvl w:val="0"/>
          <w:numId w:val="18"/>
        </w:numPr>
        <w:spacing w:after="0" w:line="240" w:lineRule="auto"/>
        <w:ind w:left="567" w:hanging="567"/>
        <w:jc w:val="both"/>
        <w:rPr>
          <w:rFonts w:ascii="Arial" w:hAnsi="Arial" w:cs="Arial"/>
          <w:sz w:val="20"/>
          <w:szCs w:val="20"/>
        </w:rPr>
      </w:pPr>
      <w:r w:rsidRPr="00357FBD">
        <w:rPr>
          <w:rFonts w:ascii="Arial" w:hAnsi="Arial" w:cs="Arial"/>
          <w:sz w:val="20"/>
          <w:szCs w:val="20"/>
        </w:rPr>
        <w:t xml:space="preserve">Repeat the process for each branch so that all the cases on the branch have the same class </w:t>
      </w:r>
    </w:p>
    <w:p w:rsidR="00157F2B" w:rsidRPr="00357FBD" w:rsidRDefault="00157F2B" w:rsidP="00157F2B">
      <w:pPr>
        <w:spacing w:line="259" w:lineRule="auto"/>
        <w:ind w:firstLine="567"/>
        <w:jc w:val="both"/>
        <w:rPr>
          <w:rFonts w:ascii="Arial" w:hAnsi="Arial" w:cs="Arial"/>
        </w:rPr>
      </w:pPr>
      <w:r w:rsidRPr="00357FBD">
        <w:rPr>
          <w:rFonts w:ascii="Arial" w:hAnsi="Arial" w:cs="Arial"/>
        </w:rPr>
        <w:t xml:space="preserve">The J48 algorithm ignores the missing value, i.e. a value for a predictable item based on what is known about the attribute values in the other row. The basic idea of this algorithm is to divide data into range based on the attribute values for items found in training data sets. The J48 algorithm allows classification either through decision trees or rules generated from the formation of classifier [14]. </w:t>
      </w:r>
    </w:p>
    <w:p w:rsidR="00157F2B" w:rsidRPr="00357FBD" w:rsidRDefault="00157F2B" w:rsidP="00157F2B">
      <w:pPr>
        <w:pStyle w:val="ListParagraph"/>
        <w:numPr>
          <w:ilvl w:val="0"/>
          <w:numId w:val="15"/>
        </w:numPr>
        <w:autoSpaceDE w:val="0"/>
        <w:autoSpaceDN w:val="0"/>
        <w:adjustRightInd w:val="0"/>
        <w:spacing w:beforeLines="100" w:before="240" w:afterLines="50" w:after="120" w:line="240" w:lineRule="auto"/>
        <w:ind w:left="360"/>
        <w:contextualSpacing w:val="0"/>
        <w:jc w:val="both"/>
        <w:rPr>
          <w:rFonts w:ascii="Arial" w:hAnsi="Arial" w:cs="Arial"/>
          <w:b/>
          <w:sz w:val="20"/>
          <w:szCs w:val="20"/>
        </w:rPr>
      </w:pPr>
      <w:r w:rsidRPr="00357FBD">
        <w:rPr>
          <w:rFonts w:ascii="Arial" w:hAnsi="Arial" w:cs="Arial"/>
          <w:b/>
          <w:bCs/>
          <w:sz w:val="20"/>
          <w:szCs w:val="20"/>
        </w:rPr>
        <w:t>Mainstay Region</w:t>
      </w:r>
    </w:p>
    <w:p w:rsidR="00157F2B" w:rsidRPr="00357FBD" w:rsidRDefault="00157F2B" w:rsidP="00157F2B">
      <w:pPr>
        <w:spacing w:line="259" w:lineRule="auto"/>
        <w:ind w:firstLine="360"/>
        <w:jc w:val="both"/>
        <w:rPr>
          <w:rFonts w:ascii="Arial" w:hAnsi="Arial" w:cs="Arial"/>
        </w:rPr>
      </w:pPr>
      <w:r w:rsidRPr="00357FBD">
        <w:rPr>
          <w:rFonts w:ascii="Arial" w:hAnsi="Arial" w:cs="Arial"/>
        </w:rPr>
        <w:t>Mai</w:t>
      </w:r>
      <w:bookmarkStart w:id="0" w:name="_GoBack"/>
      <w:bookmarkEnd w:id="0"/>
      <w:r w:rsidRPr="00357FBD">
        <w:rPr>
          <w:rFonts w:ascii="Arial" w:hAnsi="Arial" w:cs="Arial"/>
        </w:rPr>
        <w:t xml:space="preserve">nstay region is an region with greater economic growth potential compared to other regions [15]. This economic growth is usually determined by three important factors, namely: capital accumulation, population growth, and technological advancement owned by a region [16]. The existence of mainstay region is expected to have a positive impact on the economic growth for other regions surrounding. So far, the determination of mainstay region is usually conducted by the government through the decisions set forth in the National Spatial Planning Law [15]. However, it can also be determined based on the classification of development regions using Klassen approach [1]. </w:t>
      </w:r>
    </w:p>
    <w:p w:rsidR="00157F2B" w:rsidRPr="00357FBD" w:rsidRDefault="00157F2B" w:rsidP="00157F2B">
      <w:pPr>
        <w:pStyle w:val="ListParagraph"/>
        <w:numPr>
          <w:ilvl w:val="0"/>
          <w:numId w:val="15"/>
        </w:numPr>
        <w:autoSpaceDE w:val="0"/>
        <w:autoSpaceDN w:val="0"/>
        <w:adjustRightInd w:val="0"/>
        <w:spacing w:beforeLines="100" w:before="240" w:afterLines="50" w:after="120" w:line="240" w:lineRule="auto"/>
        <w:ind w:left="360"/>
        <w:contextualSpacing w:val="0"/>
        <w:jc w:val="both"/>
        <w:rPr>
          <w:rFonts w:ascii="Arial" w:hAnsi="Arial" w:cs="Arial"/>
          <w:bCs/>
          <w:sz w:val="20"/>
          <w:szCs w:val="20"/>
        </w:rPr>
      </w:pPr>
      <w:r w:rsidRPr="00357FBD">
        <w:rPr>
          <w:rFonts w:ascii="Arial" w:hAnsi="Arial" w:cs="Arial"/>
          <w:b/>
          <w:bCs/>
          <w:sz w:val="20"/>
          <w:szCs w:val="20"/>
        </w:rPr>
        <w:t>Klassen Typology</w:t>
      </w:r>
    </w:p>
    <w:p w:rsidR="00157F2B" w:rsidRDefault="00157F2B" w:rsidP="00157F2B">
      <w:pPr>
        <w:autoSpaceDE w:val="0"/>
        <w:autoSpaceDN w:val="0"/>
        <w:adjustRightInd w:val="0"/>
        <w:spacing w:beforeLines="100" w:before="240" w:afterLines="50" w:after="120"/>
        <w:ind w:firstLine="360"/>
        <w:jc w:val="both"/>
      </w:pPr>
      <w:r w:rsidRPr="00357FBD">
        <w:rPr>
          <w:rFonts w:ascii="Arial" w:hAnsi="Arial" w:cs="Arial"/>
        </w:rPr>
        <w:t>Klassen typology is an approach used to look at the pattern of the economic development growth of a region [17]. Klassen divides the regions into four development quadrants as shown in Table 1</w:t>
      </w:r>
      <w:r w:rsidRPr="009B255E">
        <w:t xml:space="preserve">. </w:t>
      </w:r>
    </w:p>
    <w:p w:rsidR="00157F2B" w:rsidRPr="00357FBD" w:rsidRDefault="00157F2B" w:rsidP="00157F2B">
      <w:pPr>
        <w:spacing w:before="200" w:after="120" w:line="216" w:lineRule="auto"/>
        <w:jc w:val="center"/>
        <w:rPr>
          <w:rFonts w:ascii="Arial" w:hAnsi="Arial" w:cs="Arial"/>
        </w:rPr>
      </w:pPr>
      <w:r w:rsidRPr="00357FBD">
        <w:rPr>
          <w:rFonts w:ascii="Arial" w:hAnsi="Arial" w:cs="Arial"/>
        </w:rPr>
        <w:t xml:space="preserve">Table 1. Classification of Economic Growth by Klassen Typology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6"/>
        <w:gridCol w:w="2009"/>
      </w:tblGrid>
      <w:tr w:rsidR="00157F2B" w:rsidRPr="00357FBD" w:rsidTr="00B47552">
        <w:trPr>
          <w:jc w:val="center"/>
        </w:trPr>
        <w:tc>
          <w:tcPr>
            <w:tcW w:w="2076" w:type="dxa"/>
            <w:tcMar>
              <w:top w:w="0" w:type="dxa"/>
              <w:left w:w="108" w:type="dxa"/>
              <w:bottom w:w="0" w:type="dxa"/>
              <w:right w:w="108" w:type="dxa"/>
            </w:tcMar>
            <w:hideMark/>
          </w:tcPr>
          <w:p w:rsidR="00157F2B" w:rsidRPr="00357FBD" w:rsidRDefault="00157F2B" w:rsidP="00B47552">
            <w:pPr>
              <w:jc w:val="center"/>
              <w:rPr>
                <w:rFonts w:ascii="Arial" w:hAnsi="Arial" w:cs="Arial"/>
              </w:rPr>
            </w:pPr>
            <w:r w:rsidRPr="00357FBD">
              <w:rPr>
                <w:rFonts w:ascii="Arial" w:hAnsi="Arial" w:cs="Arial"/>
                <w:b/>
                <w:bCs/>
              </w:rPr>
              <w:t>Quadrant I</w:t>
            </w:r>
            <w:r w:rsidRPr="00357FBD">
              <w:rPr>
                <w:rFonts w:ascii="Arial" w:hAnsi="Arial" w:cs="Arial"/>
              </w:rPr>
              <w:t xml:space="preserve"> </w:t>
            </w:r>
            <w:r w:rsidRPr="00357FBD">
              <w:rPr>
                <w:rFonts w:ascii="Arial" w:hAnsi="Arial" w:cs="Arial"/>
                <w:b/>
                <w:bCs/>
              </w:rPr>
              <w:t>(K1)</w:t>
            </w:r>
            <w:r w:rsidRPr="00357FBD">
              <w:rPr>
                <w:rFonts w:ascii="Arial" w:hAnsi="Arial" w:cs="Arial"/>
              </w:rPr>
              <w:t xml:space="preserve"> </w:t>
            </w:r>
          </w:p>
          <w:p w:rsidR="00157F2B" w:rsidRPr="00357FBD" w:rsidRDefault="00157F2B" w:rsidP="00B47552">
            <w:pPr>
              <w:jc w:val="center"/>
              <w:rPr>
                <w:rFonts w:ascii="Arial" w:hAnsi="Arial" w:cs="Arial"/>
              </w:rPr>
            </w:pPr>
            <w:r w:rsidRPr="00357FBD">
              <w:rPr>
                <w:rFonts w:ascii="Arial" w:hAnsi="Arial" w:cs="Arial"/>
              </w:rPr>
              <w:t xml:space="preserve">developed and fast-growing regions </w:t>
            </w:r>
          </w:p>
        </w:tc>
        <w:tc>
          <w:tcPr>
            <w:tcW w:w="2009" w:type="dxa"/>
            <w:tcMar>
              <w:top w:w="0" w:type="dxa"/>
              <w:left w:w="108" w:type="dxa"/>
              <w:bottom w:w="0" w:type="dxa"/>
              <w:right w:w="108" w:type="dxa"/>
            </w:tcMar>
            <w:hideMark/>
          </w:tcPr>
          <w:p w:rsidR="00157F2B" w:rsidRPr="00357FBD" w:rsidRDefault="00157F2B" w:rsidP="00B47552">
            <w:pPr>
              <w:jc w:val="center"/>
              <w:rPr>
                <w:rFonts w:ascii="Arial" w:hAnsi="Arial" w:cs="Arial"/>
              </w:rPr>
            </w:pPr>
            <w:r w:rsidRPr="00357FBD">
              <w:rPr>
                <w:rFonts w:ascii="Arial" w:hAnsi="Arial" w:cs="Arial"/>
                <w:b/>
                <w:bCs/>
              </w:rPr>
              <w:t>Quadrant II</w:t>
            </w:r>
            <w:r w:rsidRPr="00357FBD">
              <w:rPr>
                <w:rFonts w:ascii="Arial" w:hAnsi="Arial" w:cs="Arial"/>
              </w:rPr>
              <w:t xml:space="preserve"> </w:t>
            </w:r>
            <w:r w:rsidRPr="00357FBD">
              <w:rPr>
                <w:rFonts w:ascii="Arial" w:hAnsi="Arial" w:cs="Arial"/>
                <w:b/>
                <w:bCs/>
              </w:rPr>
              <w:t>(K2)</w:t>
            </w:r>
            <w:r w:rsidRPr="00357FBD">
              <w:rPr>
                <w:rFonts w:ascii="Arial" w:hAnsi="Arial" w:cs="Arial"/>
              </w:rPr>
              <w:t xml:space="preserve"> </w:t>
            </w:r>
          </w:p>
          <w:p w:rsidR="00157F2B" w:rsidRPr="00357FBD" w:rsidRDefault="00157F2B" w:rsidP="00B47552">
            <w:pPr>
              <w:jc w:val="center"/>
              <w:rPr>
                <w:rFonts w:ascii="Arial" w:hAnsi="Arial" w:cs="Arial"/>
              </w:rPr>
            </w:pPr>
            <w:r w:rsidRPr="00357FBD">
              <w:rPr>
                <w:rFonts w:ascii="Arial" w:hAnsi="Arial" w:cs="Arial"/>
              </w:rPr>
              <w:t>developed but depressed regions</w:t>
            </w:r>
          </w:p>
        </w:tc>
      </w:tr>
      <w:tr w:rsidR="00157F2B" w:rsidRPr="00357FBD" w:rsidTr="00B47552">
        <w:trPr>
          <w:jc w:val="center"/>
        </w:trPr>
        <w:tc>
          <w:tcPr>
            <w:tcW w:w="2076" w:type="dxa"/>
            <w:tcMar>
              <w:top w:w="0" w:type="dxa"/>
              <w:left w:w="108" w:type="dxa"/>
              <w:bottom w:w="0" w:type="dxa"/>
              <w:right w:w="108" w:type="dxa"/>
            </w:tcMar>
            <w:hideMark/>
          </w:tcPr>
          <w:p w:rsidR="00157F2B" w:rsidRPr="00357FBD" w:rsidRDefault="00157F2B" w:rsidP="00B47552">
            <w:pPr>
              <w:jc w:val="center"/>
              <w:rPr>
                <w:rFonts w:ascii="Arial" w:hAnsi="Arial" w:cs="Arial"/>
              </w:rPr>
            </w:pPr>
            <w:r w:rsidRPr="00357FBD">
              <w:rPr>
                <w:rFonts w:ascii="Arial" w:hAnsi="Arial" w:cs="Arial"/>
                <w:b/>
                <w:bCs/>
              </w:rPr>
              <w:t> Quadrant III</w:t>
            </w:r>
            <w:r w:rsidRPr="00357FBD">
              <w:rPr>
                <w:rFonts w:ascii="Arial" w:hAnsi="Arial" w:cs="Arial"/>
              </w:rPr>
              <w:t xml:space="preserve"> </w:t>
            </w:r>
            <w:r w:rsidRPr="00357FBD">
              <w:rPr>
                <w:rFonts w:ascii="Arial" w:hAnsi="Arial" w:cs="Arial"/>
                <w:b/>
                <w:bCs/>
              </w:rPr>
              <w:t>(K3)</w:t>
            </w:r>
            <w:r w:rsidRPr="00357FBD">
              <w:rPr>
                <w:rFonts w:ascii="Arial" w:hAnsi="Arial" w:cs="Arial"/>
              </w:rPr>
              <w:t xml:space="preserve"> </w:t>
            </w:r>
          </w:p>
          <w:p w:rsidR="00157F2B" w:rsidRPr="00357FBD" w:rsidRDefault="00157F2B" w:rsidP="00B47552">
            <w:pPr>
              <w:jc w:val="center"/>
              <w:rPr>
                <w:rFonts w:ascii="Arial" w:hAnsi="Arial" w:cs="Arial"/>
              </w:rPr>
            </w:pPr>
            <w:r w:rsidRPr="00357FBD">
              <w:rPr>
                <w:rFonts w:ascii="Arial" w:hAnsi="Arial" w:cs="Arial"/>
              </w:rPr>
              <w:t xml:space="preserve">Potential or developing regions </w:t>
            </w:r>
          </w:p>
        </w:tc>
        <w:tc>
          <w:tcPr>
            <w:tcW w:w="2009" w:type="dxa"/>
            <w:tcMar>
              <w:top w:w="0" w:type="dxa"/>
              <w:left w:w="108" w:type="dxa"/>
              <w:bottom w:w="0" w:type="dxa"/>
              <w:right w:w="108" w:type="dxa"/>
            </w:tcMar>
            <w:hideMark/>
          </w:tcPr>
          <w:p w:rsidR="00157F2B" w:rsidRPr="00357FBD" w:rsidRDefault="00157F2B" w:rsidP="00B47552">
            <w:pPr>
              <w:jc w:val="center"/>
              <w:rPr>
                <w:rFonts w:ascii="Arial" w:hAnsi="Arial" w:cs="Arial"/>
              </w:rPr>
            </w:pPr>
            <w:r w:rsidRPr="00357FBD">
              <w:rPr>
                <w:rFonts w:ascii="Arial" w:hAnsi="Arial" w:cs="Arial"/>
                <w:b/>
                <w:bCs/>
              </w:rPr>
              <w:t>Quadrant IV</w:t>
            </w:r>
            <w:r w:rsidRPr="00357FBD">
              <w:rPr>
                <w:rFonts w:ascii="Arial" w:hAnsi="Arial" w:cs="Arial"/>
              </w:rPr>
              <w:t xml:space="preserve"> </w:t>
            </w:r>
            <w:r w:rsidRPr="00357FBD">
              <w:rPr>
                <w:rFonts w:ascii="Arial" w:hAnsi="Arial" w:cs="Arial"/>
                <w:b/>
                <w:bCs/>
              </w:rPr>
              <w:t>(K4)</w:t>
            </w:r>
            <w:r w:rsidRPr="00357FBD">
              <w:rPr>
                <w:rFonts w:ascii="Arial" w:hAnsi="Arial" w:cs="Arial"/>
              </w:rPr>
              <w:t xml:space="preserve"> </w:t>
            </w:r>
          </w:p>
          <w:p w:rsidR="00157F2B" w:rsidRPr="00357FBD" w:rsidRDefault="00157F2B" w:rsidP="00B47552">
            <w:pPr>
              <w:jc w:val="center"/>
              <w:rPr>
                <w:rFonts w:ascii="Arial" w:hAnsi="Arial" w:cs="Arial"/>
              </w:rPr>
            </w:pPr>
            <w:r w:rsidRPr="00357FBD">
              <w:rPr>
                <w:rFonts w:ascii="Arial" w:hAnsi="Arial" w:cs="Arial"/>
              </w:rPr>
              <w:t xml:space="preserve">relatively lagging regions </w:t>
            </w:r>
          </w:p>
        </w:tc>
      </w:tr>
    </w:tbl>
    <w:p w:rsidR="00157F2B" w:rsidRDefault="00157F2B" w:rsidP="00157F2B">
      <w:pPr>
        <w:autoSpaceDE w:val="0"/>
        <w:autoSpaceDN w:val="0"/>
        <w:adjustRightInd w:val="0"/>
        <w:jc w:val="both"/>
      </w:pPr>
    </w:p>
    <w:p w:rsidR="00157F2B" w:rsidRPr="00357FBD" w:rsidRDefault="00157F2B" w:rsidP="00157F2B">
      <w:pPr>
        <w:spacing w:line="259" w:lineRule="auto"/>
        <w:ind w:firstLine="567"/>
        <w:jc w:val="both"/>
        <w:rPr>
          <w:rFonts w:ascii="Arial" w:hAnsi="Arial" w:cs="Arial"/>
          <w:bCs/>
        </w:rPr>
      </w:pPr>
      <w:r w:rsidRPr="00357FBD">
        <w:rPr>
          <w:rFonts w:ascii="Arial" w:hAnsi="Arial" w:cs="Arial"/>
          <w:bCs/>
        </w:rPr>
        <w:t xml:space="preserve">Advanced and rapidly growing sector (developed sector) is in Quadrant I. This quadrant is a quadrant of a specific sector growth rate in GRDP (si) which is greater than the sector growth </w:t>
      </w:r>
      <w:r w:rsidRPr="00357FBD">
        <w:rPr>
          <w:rFonts w:ascii="Arial" w:hAnsi="Arial" w:cs="Arial"/>
          <w:bCs/>
        </w:rPr>
        <w:lastRenderedPageBreak/>
        <w:t>rate in the regional GRDP as the reference (s) and has a sector contribution value to GRDP (ski) which is greater than the sector contribution to regional GRDP as the reference (sk). This classification is denoted with si&gt; s and skis&gt; sk.</w:t>
      </w:r>
    </w:p>
    <w:p w:rsidR="00157F2B" w:rsidRPr="00357FBD" w:rsidRDefault="00157F2B" w:rsidP="00157F2B">
      <w:pPr>
        <w:spacing w:line="259" w:lineRule="auto"/>
        <w:ind w:firstLine="567"/>
        <w:jc w:val="both"/>
        <w:rPr>
          <w:rFonts w:ascii="Arial" w:hAnsi="Arial" w:cs="Arial"/>
          <w:bCs/>
        </w:rPr>
      </w:pPr>
      <w:r w:rsidRPr="00357FBD">
        <w:rPr>
          <w:rFonts w:ascii="Arial" w:hAnsi="Arial" w:cs="Arial"/>
          <w:bCs/>
        </w:rPr>
        <w:t>Advanced but stagnant sector is in Quadrant II. This quadrant is a quadrant of a specific sector growth rate in GRDP that is smaller than the sector growth rate in the regional GRDP as the reference (s) but has greater sector contribution value to GRDP (ski) than the sector contribution to regional PDRB as the reference (sk). This classification is denoted with si &lt;s and skis&gt; sk.</w:t>
      </w:r>
    </w:p>
    <w:p w:rsidR="00157F2B" w:rsidRPr="00357FBD" w:rsidRDefault="00157F2B" w:rsidP="00157F2B">
      <w:pPr>
        <w:spacing w:line="259" w:lineRule="auto"/>
        <w:ind w:firstLine="567"/>
        <w:jc w:val="both"/>
        <w:rPr>
          <w:rFonts w:ascii="Arial" w:hAnsi="Arial" w:cs="Arial"/>
          <w:bCs/>
        </w:rPr>
      </w:pPr>
      <w:r w:rsidRPr="00357FBD">
        <w:rPr>
          <w:rFonts w:ascii="Arial" w:hAnsi="Arial" w:cs="Arial"/>
          <w:bCs/>
        </w:rPr>
        <w:t>Potential and developing sector is in (Quadrant III. This quadrant is a quadrant of a specific sector growth rate in GRDP (si) which is greater than the sector growth rate in the regional GRDP as the reference (s) but has a smaller sector contribution value to GRDP than the sector contribution to regional GRDP as the reference (sk). This classification is denoted with si&gt; s and skis &lt;sk.</w:t>
      </w:r>
    </w:p>
    <w:p w:rsidR="00157F2B" w:rsidRPr="00357FBD" w:rsidRDefault="00157F2B" w:rsidP="00157F2B">
      <w:pPr>
        <w:spacing w:line="259" w:lineRule="auto"/>
        <w:ind w:firstLine="567"/>
        <w:jc w:val="both"/>
        <w:rPr>
          <w:rFonts w:ascii="Arial" w:hAnsi="Arial" w:cs="Arial"/>
          <w:bCs/>
        </w:rPr>
      </w:pPr>
      <w:r w:rsidRPr="00357FBD">
        <w:rPr>
          <w:rFonts w:ascii="Arial" w:hAnsi="Arial" w:cs="Arial"/>
          <w:bCs/>
        </w:rPr>
        <w:t>Underdeveloped sector is in Quadrant IV. This quadrant is a quadrant of a specific sector growth rate in GRDP (si) which is smaller than the sector growth rate in the regional PDRB as the reference (s) and also has smaller sector contribution value to GRDP (ski) than the sector contribution to regional GRDP as the reference (sk). This classification is denoted with si &lt;s and ski &lt;sk.</w:t>
      </w:r>
    </w:p>
    <w:p w:rsidR="00157F2B" w:rsidRPr="00357FBD" w:rsidRDefault="00157F2B" w:rsidP="002F7316">
      <w:pPr>
        <w:ind w:left="360"/>
        <w:rPr>
          <w:rFonts w:ascii="Arial" w:hAnsi="Arial" w:cs="Arial"/>
          <w:b/>
          <w:bCs/>
        </w:rPr>
      </w:pPr>
    </w:p>
    <w:p w:rsidR="001A71C3" w:rsidRPr="00357FBD" w:rsidRDefault="001A71C3" w:rsidP="001A71C3">
      <w:pPr>
        <w:pStyle w:val="ListParagraph"/>
        <w:numPr>
          <w:ilvl w:val="0"/>
          <w:numId w:val="15"/>
        </w:numPr>
        <w:tabs>
          <w:tab w:val="left" w:pos="360"/>
        </w:tabs>
        <w:spacing w:beforeLines="100" w:before="240" w:afterLines="50" w:after="120" w:line="240" w:lineRule="auto"/>
        <w:ind w:left="0" w:firstLine="0"/>
        <w:contextualSpacing w:val="0"/>
        <w:rPr>
          <w:rFonts w:ascii="Arial" w:hAnsi="Arial" w:cs="Arial"/>
          <w:b/>
          <w:sz w:val="20"/>
          <w:szCs w:val="20"/>
        </w:rPr>
      </w:pPr>
      <w:r w:rsidRPr="00357FBD">
        <w:rPr>
          <w:rFonts w:ascii="Arial" w:hAnsi="Arial" w:cs="Arial"/>
          <w:b/>
          <w:bCs/>
          <w:sz w:val="20"/>
          <w:szCs w:val="20"/>
        </w:rPr>
        <w:t xml:space="preserve">Research Methodology </w:t>
      </w:r>
    </w:p>
    <w:p w:rsidR="001A71C3" w:rsidRDefault="001A71C3" w:rsidP="001A71C3">
      <w:pPr>
        <w:pStyle w:val="ListParagraph"/>
        <w:tabs>
          <w:tab w:val="left" w:pos="360"/>
        </w:tabs>
        <w:spacing w:beforeLines="100" w:before="240" w:afterLines="50" w:after="120" w:line="240" w:lineRule="auto"/>
        <w:ind w:left="0"/>
        <w:contextualSpacing w:val="0"/>
        <w:jc w:val="both"/>
        <w:rPr>
          <w:rFonts w:ascii="Arial" w:hAnsi="Arial" w:cs="Arial"/>
          <w:sz w:val="20"/>
          <w:szCs w:val="20"/>
        </w:rPr>
      </w:pPr>
      <w:r w:rsidRPr="00357FBD">
        <w:rPr>
          <w:rFonts w:ascii="Arial" w:hAnsi="Arial" w:cs="Arial"/>
          <w:sz w:val="20"/>
          <w:szCs w:val="20"/>
        </w:rPr>
        <w:tab/>
        <w:t>The sample of this study is Papua Province in the eastern part of Indonesia. The study begins with the data collection of the provincial GRDP sector data. Sector data used are 2014 and 2015 data for 29 regencies in Papua Province. The next step is to divide the data into data training and testing. The data of 2014 are used as data training while data of 2015 are used as data testing. Furthermore, both types of data are classified based on Klassen typology to obtain the initial classification of the mainstay economic region. The next step is to establish the basic rules using decision tree techniques to obtain decision tree as a classification tool for the next mainstay economic region. Two decision tree techniques used in this study are NBTree and J48. Decision tree formed is tested to the data testing as well as to see the accuracy of the classification of the mainstay regions using the decision tree model. The decision tree technique with the highest level of accuracy is used as the foundation of the main rule in this study.</w:t>
      </w:r>
    </w:p>
    <w:p w:rsidR="00357FBD" w:rsidRPr="00357FBD" w:rsidRDefault="00357FBD" w:rsidP="001A71C3">
      <w:pPr>
        <w:pStyle w:val="ListParagraph"/>
        <w:tabs>
          <w:tab w:val="left" w:pos="360"/>
        </w:tabs>
        <w:spacing w:beforeLines="100" w:before="240" w:afterLines="50" w:after="120" w:line="240" w:lineRule="auto"/>
        <w:ind w:left="0"/>
        <w:contextualSpacing w:val="0"/>
        <w:jc w:val="both"/>
        <w:rPr>
          <w:rFonts w:ascii="Arial" w:hAnsi="Arial" w:cs="Arial"/>
          <w:sz w:val="20"/>
          <w:szCs w:val="20"/>
        </w:rPr>
      </w:pPr>
    </w:p>
    <w:p w:rsidR="001A71C3" w:rsidRPr="00357FBD" w:rsidRDefault="001A71C3" w:rsidP="001A71C3">
      <w:pPr>
        <w:pStyle w:val="ListParagraph"/>
        <w:numPr>
          <w:ilvl w:val="0"/>
          <w:numId w:val="15"/>
        </w:numPr>
        <w:tabs>
          <w:tab w:val="left" w:pos="360"/>
        </w:tabs>
        <w:spacing w:after="0" w:line="240" w:lineRule="auto"/>
        <w:ind w:left="0" w:firstLine="0"/>
        <w:contextualSpacing w:val="0"/>
        <w:rPr>
          <w:rFonts w:ascii="Arial" w:hAnsi="Arial" w:cs="Arial"/>
          <w:b/>
          <w:sz w:val="20"/>
          <w:szCs w:val="20"/>
        </w:rPr>
      </w:pPr>
      <w:r w:rsidRPr="00357FBD">
        <w:rPr>
          <w:rFonts w:ascii="Arial" w:hAnsi="Arial" w:cs="Arial"/>
          <w:b/>
          <w:bCs/>
          <w:sz w:val="20"/>
          <w:szCs w:val="20"/>
        </w:rPr>
        <w:t>Proposed Model Of The Mainstay Economic</w:t>
      </w:r>
    </w:p>
    <w:p w:rsidR="001A71C3" w:rsidRPr="00357FBD" w:rsidRDefault="001A71C3" w:rsidP="001A71C3">
      <w:pPr>
        <w:pStyle w:val="ListParagraph"/>
        <w:tabs>
          <w:tab w:val="left" w:pos="360"/>
        </w:tabs>
        <w:spacing w:after="0" w:line="240" w:lineRule="auto"/>
        <w:ind w:left="0"/>
        <w:contextualSpacing w:val="0"/>
        <w:rPr>
          <w:rFonts w:ascii="Arial" w:hAnsi="Arial" w:cs="Arial"/>
          <w:b/>
          <w:bCs/>
          <w:sz w:val="20"/>
          <w:szCs w:val="20"/>
        </w:rPr>
      </w:pPr>
      <w:r w:rsidRPr="00357FBD">
        <w:rPr>
          <w:rFonts w:ascii="Arial" w:hAnsi="Arial" w:cs="Arial"/>
          <w:b/>
          <w:sz w:val="20"/>
          <w:szCs w:val="20"/>
        </w:rPr>
        <w:t xml:space="preserve">      </w:t>
      </w:r>
      <w:r w:rsidRPr="00357FBD">
        <w:rPr>
          <w:rFonts w:ascii="Arial" w:hAnsi="Arial" w:cs="Arial"/>
          <w:b/>
          <w:bCs/>
          <w:sz w:val="20"/>
          <w:szCs w:val="20"/>
        </w:rPr>
        <w:t>Region Classification</w:t>
      </w:r>
    </w:p>
    <w:p w:rsidR="001A71C3" w:rsidRPr="00357FBD" w:rsidRDefault="001A71C3" w:rsidP="001A71C3">
      <w:pPr>
        <w:pStyle w:val="ListParagraph"/>
        <w:tabs>
          <w:tab w:val="left" w:pos="360"/>
        </w:tabs>
        <w:spacing w:after="0" w:line="240" w:lineRule="auto"/>
        <w:ind w:left="0"/>
        <w:contextualSpacing w:val="0"/>
        <w:rPr>
          <w:rFonts w:ascii="Arial" w:hAnsi="Arial" w:cs="Arial"/>
          <w:b/>
          <w:sz w:val="20"/>
          <w:szCs w:val="20"/>
        </w:rPr>
      </w:pPr>
    </w:p>
    <w:p w:rsidR="001A71C3" w:rsidRPr="00357FBD" w:rsidRDefault="001A71C3" w:rsidP="001A71C3">
      <w:pPr>
        <w:spacing w:line="259" w:lineRule="auto"/>
        <w:ind w:firstLine="330"/>
        <w:jc w:val="both"/>
        <w:rPr>
          <w:rFonts w:ascii="Arial" w:hAnsi="Arial" w:cs="Arial"/>
        </w:rPr>
      </w:pPr>
      <w:r w:rsidRPr="00357FBD">
        <w:rPr>
          <w:rFonts w:ascii="Arial" w:hAnsi="Arial" w:cs="Arial"/>
        </w:rPr>
        <w:t xml:space="preserve">This study develops a model of the mainstay economic region classification based on GRDP sector data owned by a region. Figure 1 shows the developed model. The developed model is a combination of decision tree and Klassen typology techniques as the basis for determining the classification of the mainstay economic region. GRDP sector data of a region in the period of previous </w:t>
      </w:r>
      <w:r w:rsidRPr="00357FBD">
        <w:rPr>
          <w:rFonts w:ascii="Arial" w:hAnsi="Arial" w:cs="Arial"/>
          <w:i/>
        </w:rPr>
        <w:t>n</w:t>
      </w:r>
      <w:r w:rsidRPr="00357FBD">
        <w:rPr>
          <w:rFonts w:ascii="Arial" w:hAnsi="Arial" w:cs="Arial"/>
        </w:rPr>
        <w:t xml:space="preserve"> years are used to form decision tree using decision tree. GRDP sector data are then classified using Klassen typology to obtain the initial classification results. The result of this initial classification is used as data training for decision tree makers using decision tree. The next stage is to test the data testing to test the decision tree already formed. The main output of the developed model is the classification of the mainstay economic region based on the value of the GRDP sector data owned by a region.</w:t>
      </w:r>
    </w:p>
    <w:p w:rsidR="001A71C3" w:rsidRPr="00357FBD" w:rsidRDefault="001A71C3" w:rsidP="001A71C3">
      <w:pPr>
        <w:spacing w:line="259" w:lineRule="auto"/>
        <w:ind w:firstLine="330"/>
        <w:jc w:val="both"/>
        <w:rPr>
          <w:rFonts w:ascii="Arial" w:hAnsi="Arial" w:cs="Arial"/>
        </w:rPr>
      </w:pPr>
    </w:p>
    <w:p w:rsidR="001A71C3" w:rsidRPr="00357FBD" w:rsidRDefault="001A71C3" w:rsidP="001A71C3">
      <w:pPr>
        <w:spacing w:line="259" w:lineRule="auto"/>
        <w:ind w:firstLine="330"/>
        <w:jc w:val="both"/>
        <w:rPr>
          <w:rFonts w:ascii="Arial" w:hAnsi="Arial" w:cs="Arial"/>
        </w:rPr>
      </w:pPr>
    </w:p>
    <w:p w:rsidR="001A71C3" w:rsidRPr="00357FBD" w:rsidRDefault="001A71C3" w:rsidP="001A71C3">
      <w:pPr>
        <w:spacing w:line="259" w:lineRule="auto"/>
        <w:ind w:firstLine="330"/>
        <w:jc w:val="both"/>
        <w:rPr>
          <w:rFonts w:ascii="Arial" w:hAnsi="Arial" w:cs="Arial"/>
        </w:rPr>
      </w:pPr>
    </w:p>
    <w:p w:rsidR="001A71C3" w:rsidRDefault="001A71C3" w:rsidP="001A71C3">
      <w:pPr>
        <w:spacing w:line="259" w:lineRule="auto"/>
        <w:ind w:firstLine="330"/>
        <w:jc w:val="both"/>
        <w:rPr>
          <w:rFonts w:ascii="Arial" w:hAnsi="Arial" w:cs="Arial"/>
        </w:rPr>
      </w:pPr>
    </w:p>
    <w:p w:rsidR="00774E67" w:rsidRDefault="00774E67" w:rsidP="001A71C3">
      <w:pPr>
        <w:spacing w:line="259" w:lineRule="auto"/>
        <w:ind w:firstLine="330"/>
        <w:jc w:val="both"/>
        <w:rPr>
          <w:rFonts w:ascii="Arial" w:hAnsi="Arial" w:cs="Arial"/>
        </w:rPr>
      </w:pPr>
    </w:p>
    <w:p w:rsidR="00774E67" w:rsidRDefault="00774E67" w:rsidP="001A71C3">
      <w:pPr>
        <w:spacing w:line="259" w:lineRule="auto"/>
        <w:ind w:firstLine="330"/>
        <w:jc w:val="both"/>
        <w:rPr>
          <w:rFonts w:ascii="Arial" w:hAnsi="Arial" w:cs="Arial"/>
        </w:rPr>
      </w:pPr>
    </w:p>
    <w:p w:rsidR="00774E67" w:rsidRPr="00357FBD" w:rsidRDefault="00774E67" w:rsidP="001A71C3">
      <w:pPr>
        <w:spacing w:line="259" w:lineRule="auto"/>
        <w:ind w:firstLine="330"/>
        <w:jc w:val="both"/>
        <w:rPr>
          <w:rFonts w:ascii="Arial" w:hAnsi="Arial" w:cs="Arial"/>
        </w:rPr>
      </w:pPr>
    </w:p>
    <w:p w:rsidR="001A71C3" w:rsidRPr="00357FBD" w:rsidRDefault="001A71C3" w:rsidP="001A71C3">
      <w:pPr>
        <w:spacing w:line="259" w:lineRule="auto"/>
        <w:ind w:firstLine="330"/>
        <w:jc w:val="both"/>
        <w:rPr>
          <w:rFonts w:ascii="Arial" w:hAnsi="Arial" w:cs="Arial"/>
        </w:rPr>
      </w:pPr>
    </w:p>
    <w:p w:rsidR="001A71C3" w:rsidRPr="00357FBD" w:rsidRDefault="001A71C3" w:rsidP="001A71C3">
      <w:pPr>
        <w:tabs>
          <w:tab w:val="left" w:pos="360"/>
        </w:tabs>
        <w:spacing w:beforeLines="100" w:before="240" w:afterLines="50" w:after="120"/>
        <w:jc w:val="center"/>
        <w:rPr>
          <w:rFonts w:ascii="Arial" w:hAnsi="Arial" w:cs="Arial"/>
          <w:b/>
        </w:rPr>
      </w:pPr>
      <w:r w:rsidRPr="00357FBD">
        <w:rPr>
          <w:rFonts w:ascii="Arial" w:hAnsi="Arial" w:cs="Arial"/>
          <w:noProof/>
        </w:rPr>
        <w:drawing>
          <wp:inline distT="0" distB="0" distL="0" distR="0" wp14:anchorId="7AE73443" wp14:editId="12CCEB66">
            <wp:extent cx="2809875" cy="3725986"/>
            <wp:effectExtent l="0" t="0" r="0" b="8255"/>
            <wp:docPr id="6" name="Picture 6" descr="D:\BAHAN KULIAH S3\PAPER2 MAS HERU\Model Paper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HAN KULIAH S3\PAPER2 MAS HERU\Model Paper 0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89" t="444"/>
                    <a:stretch/>
                  </pic:blipFill>
                  <pic:spPr bwMode="auto">
                    <a:xfrm>
                      <a:off x="0" y="0"/>
                      <a:ext cx="2827393" cy="3749216"/>
                    </a:xfrm>
                    <a:prstGeom prst="rect">
                      <a:avLst/>
                    </a:prstGeom>
                    <a:noFill/>
                    <a:ln>
                      <a:noFill/>
                    </a:ln>
                    <a:extLst>
                      <a:ext uri="{53640926-AAD7-44D8-BBD7-CCE9431645EC}">
                        <a14:shadowObscured xmlns:a14="http://schemas.microsoft.com/office/drawing/2010/main"/>
                      </a:ext>
                    </a:extLst>
                  </pic:spPr>
                </pic:pic>
              </a:graphicData>
            </a:graphic>
          </wp:inline>
        </w:drawing>
      </w:r>
    </w:p>
    <w:p w:rsidR="001A71C3" w:rsidRPr="00357FBD" w:rsidRDefault="001A71C3" w:rsidP="001A71C3">
      <w:pPr>
        <w:tabs>
          <w:tab w:val="left" w:pos="360"/>
        </w:tabs>
        <w:spacing w:beforeLines="100" w:before="240" w:afterLines="50" w:after="120"/>
        <w:jc w:val="center"/>
        <w:rPr>
          <w:rFonts w:ascii="Arial" w:hAnsi="Arial" w:cs="Arial"/>
        </w:rPr>
      </w:pPr>
      <w:r w:rsidRPr="00357FBD">
        <w:rPr>
          <w:rFonts w:ascii="Arial" w:hAnsi="Arial" w:cs="Arial"/>
        </w:rPr>
        <w:t>Figure 1. Proposed Model of Mainstay Economic Region Classification</w:t>
      </w:r>
    </w:p>
    <w:p w:rsidR="001A71C3" w:rsidRPr="00357FBD" w:rsidRDefault="001A71C3" w:rsidP="001A71C3">
      <w:pPr>
        <w:tabs>
          <w:tab w:val="left" w:pos="360"/>
        </w:tabs>
        <w:spacing w:beforeLines="100" w:before="240" w:afterLines="50" w:after="120"/>
        <w:jc w:val="center"/>
        <w:rPr>
          <w:rFonts w:ascii="Arial" w:hAnsi="Arial" w:cs="Arial"/>
        </w:rPr>
      </w:pPr>
    </w:p>
    <w:p w:rsidR="001A71C3" w:rsidRPr="00357FBD" w:rsidRDefault="001A71C3" w:rsidP="001A71C3">
      <w:pPr>
        <w:pStyle w:val="ListParagraph"/>
        <w:numPr>
          <w:ilvl w:val="0"/>
          <w:numId w:val="15"/>
        </w:numPr>
        <w:spacing w:beforeLines="100" w:before="240" w:afterLines="50" w:after="120" w:line="240" w:lineRule="auto"/>
        <w:ind w:left="360"/>
        <w:contextualSpacing w:val="0"/>
        <w:jc w:val="both"/>
        <w:rPr>
          <w:rFonts w:ascii="Arial" w:hAnsi="Arial" w:cs="Arial"/>
          <w:b/>
          <w:sz w:val="20"/>
          <w:szCs w:val="20"/>
        </w:rPr>
      </w:pPr>
      <w:r w:rsidRPr="00357FBD">
        <w:rPr>
          <w:rFonts w:ascii="Arial" w:hAnsi="Arial" w:cs="Arial"/>
          <w:b/>
          <w:bCs/>
          <w:sz w:val="20"/>
          <w:szCs w:val="20"/>
        </w:rPr>
        <w:t>Results And Discussion</w:t>
      </w:r>
    </w:p>
    <w:p w:rsidR="001A71C3" w:rsidRPr="00357FBD" w:rsidRDefault="001A71C3" w:rsidP="001A71C3">
      <w:pPr>
        <w:spacing w:line="259" w:lineRule="auto"/>
        <w:ind w:firstLine="330"/>
        <w:jc w:val="both"/>
        <w:rPr>
          <w:rFonts w:ascii="Arial" w:hAnsi="Arial" w:cs="Arial"/>
        </w:rPr>
      </w:pPr>
      <w:r w:rsidRPr="00357FBD">
        <w:rPr>
          <w:rFonts w:ascii="Arial" w:hAnsi="Arial" w:cs="Arial"/>
        </w:rPr>
        <w:t xml:space="preserve">The initial phase of this study was conducted by classifying 29 regencies in Papua Province using Klassen. The main objective is to make it as data training on the formation of classification rules using decision tree techniques of NBTree and J48. Table 2 shows the results of the classification of 29 regencies in Papua Province based on Klassen. </w:t>
      </w:r>
    </w:p>
    <w:p w:rsidR="00357FBD" w:rsidRDefault="00357FBD"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B47552" w:rsidRDefault="00B47552" w:rsidP="001A71C3">
      <w:pPr>
        <w:jc w:val="center"/>
        <w:rPr>
          <w:rFonts w:ascii="Arial" w:hAnsi="Arial" w:cs="Arial"/>
        </w:rPr>
      </w:pPr>
    </w:p>
    <w:p w:rsidR="001A71C3" w:rsidRPr="00357FBD" w:rsidRDefault="001A71C3" w:rsidP="001A71C3">
      <w:pPr>
        <w:jc w:val="center"/>
        <w:rPr>
          <w:rFonts w:ascii="Arial" w:hAnsi="Arial" w:cs="Arial"/>
        </w:rPr>
      </w:pPr>
      <w:r w:rsidRPr="00357FBD">
        <w:rPr>
          <w:rFonts w:ascii="Arial" w:hAnsi="Arial" w:cs="Arial"/>
        </w:rPr>
        <w:t>Table 2. Classification of Development Quadrant in 29 Regencies</w:t>
      </w:r>
    </w:p>
    <w:p w:rsidR="001A71C3" w:rsidRPr="00357FBD" w:rsidRDefault="001A71C3" w:rsidP="001A71C3">
      <w:pPr>
        <w:jc w:val="center"/>
        <w:rPr>
          <w:rFonts w:ascii="Arial" w:hAnsi="Arial" w:cs="Arial"/>
        </w:rPr>
      </w:pPr>
      <w:r w:rsidRPr="00357FBD">
        <w:rPr>
          <w:rFonts w:ascii="Arial" w:hAnsi="Arial" w:cs="Arial"/>
        </w:rPr>
        <w:t xml:space="preserve"> in Papua Province</w:t>
      </w:r>
    </w:p>
    <w:tbl>
      <w:tblPr>
        <w:tblW w:w="6570" w:type="dxa"/>
        <w:jc w:val="center"/>
        <w:tblLook w:val="04A0" w:firstRow="1" w:lastRow="0" w:firstColumn="1" w:lastColumn="0" w:noHBand="0" w:noVBand="1"/>
      </w:tblPr>
      <w:tblGrid>
        <w:gridCol w:w="483"/>
        <w:gridCol w:w="1863"/>
        <w:gridCol w:w="1559"/>
        <w:gridCol w:w="1560"/>
        <w:gridCol w:w="1105"/>
      </w:tblGrid>
      <w:tr w:rsidR="001A71C3" w:rsidRPr="00357FBD" w:rsidTr="00357FBD">
        <w:trPr>
          <w:trHeight w:val="300"/>
          <w:jc w:val="center"/>
        </w:trPr>
        <w:tc>
          <w:tcPr>
            <w:tcW w:w="483" w:type="dxa"/>
            <w:tcBorders>
              <w:top w:val="single" w:sz="4" w:space="0" w:color="auto"/>
              <w:left w:val="single" w:sz="4" w:space="0" w:color="auto"/>
              <w:bottom w:val="double" w:sz="4" w:space="0" w:color="auto"/>
              <w:right w:val="single" w:sz="4" w:space="0" w:color="auto"/>
            </w:tcBorders>
            <w:shd w:val="clear" w:color="auto" w:fill="B2A1C7" w:themeFill="accent4" w:themeFillTint="99"/>
            <w:noWrap/>
            <w:vAlign w:val="bottom"/>
            <w:hideMark/>
          </w:tcPr>
          <w:p w:rsidR="001A71C3" w:rsidRPr="00357FBD" w:rsidRDefault="001A71C3" w:rsidP="00B47552">
            <w:pPr>
              <w:contextualSpacing/>
              <w:rPr>
                <w:rFonts w:ascii="Arial" w:hAnsi="Arial" w:cs="Arial"/>
                <w:b/>
                <w:bCs/>
                <w:color w:val="000000"/>
                <w:lang w:eastAsia="id-ID"/>
              </w:rPr>
            </w:pPr>
            <w:r w:rsidRPr="00357FBD">
              <w:rPr>
                <w:rFonts w:ascii="Arial" w:hAnsi="Arial" w:cs="Arial"/>
                <w:b/>
                <w:bCs/>
                <w:color w:val="000000"/>
                <w:lang w:eastAsia="id-ID"/>
              </w:rPr>
              <w:t>No</w:t>
            </w:r>
          </w:p>
        </w:tc>
        <w:tc>
          <w:tcPr>
            <w:tcW w:w="1863" w:type="dxa"/>
            <w:tcBorders>
              <w:top w:val="single" w:sz="4" w:space="0" w:color="auto"/>
              <w:left w:val="single" w:sz="4" w:space="0" w:color="auto"/>
              <w:bottom w:val="double" w:sz="4" w:space="0" w:color="auto"/>
              <w:right w:val="single" w:sz="4" w:space="0" w:color="auto"/>
            </w:tcBorders>
            <w:shd w:val="clear" w:color="auto" w:fill="B2A1C7" w:themeFill="accent4" w:themeFillTint="99"/>
            <w:noWrap/>
            <w:vAlign w:val="bottom"/>
            <w:hideMark/>
          </w:tcPr>
          <w:p w:rsidR="001A71C3" w:rsidRPr="00357FBD" w:rsidRDefault="001A71C3" w:rsidP="00B47552">
            <w:pPr>
              <w:contextualSpacing/>
              <w:rPr>
                <w:rFonts w:ascii="Arial" w:hAnsi="Arial" w:cs="Arial"/>
                <w:b/>
                <w:bCs/>
                <w:color w:val="000000"/>
                <w:lang w:eastAsia="id-ID"/>
              </w:rPr>
            </w:pPr>
            <w:r w:rsidRPr="00357FBD">
              <w:rPr>
                <w:rFonts w:ascii="Arial" w:hAnsi="Arial" w:cs="Arial"/>
                <w:b/>
                <w:bCs/>
                <w:color w:val="000000"/>
                <w:lang w:eastAsia="id-ID"/>
              </w:rPr>
              <w:t>District</w:t>
            </w:r>
          </w:p>
        </w:tc>
        <w:tc>
          <w:tcPr>
            <w:tcW w:w="1559" w:type="dxa"/>
            <w:tcBorders>
              <w:top w:val="single" w:sz="4" w:space="0" w:color="auto"/>
              <w:left w:val="single" w:sz="4" w:space="0" w:color="auto"/>
              <w:bottom w:val="double" w:sz="4" w:space="0" w:color="auto"/>
              <w:right w:val="single" w:sz="4" w:space="0" w:color="auto"/>
            </w:tcBorders>
            <w:shd w:val="clear" w:color="auto" w:fill="B2A1C7" w:themeFill="accent4" w:themeFillTint="99"/>
            <w:noWrap/>
            <w:vAlign w:val="bottom"/>
            <w:hideMark/>
          </w:tcPr>
          <w:p w:rsidR="001A71C3" w:rsidRPr="00357FBD" w:rsidRDefault="001A71C3" w:rsidP="00B47552">
            <w:pPr>
              <w:contextualSpacing/>
              <w:jc w:val="right"/>
              <w:rPr>
                <w:rFonts w:ascii="Arial" w:hAnsi="Arial" w:cs="Arial"/>
                <w:b/>
                <w:bCs/>
                <w:color w:val="000000"/>
                <w:lang w:eastAsia="id-ID"/>
              </w:rPr>
            </w:pPr>
            <w:r w:rsidRPr="00357FBD">
              <w:rPr>
                <w:rFonts w:ascii="Arial" w:hAnsi="Arial" w:cs="Arial"/>
                <w:b/>
              </w:rPr>
              <w:t>GRDP</w:t>
            </w:r>
            <w:r w:rsidRPr="00357FBD">
              <w:rPr>
                <w:rFonts w:ascii="Arial" w:hAnsi="Arial" w:cs="Arial"/>
                <w:b/>
                <w:bCs/>
                <w:color w:val="000000"/>
                <w:lang w:eastAsia="id-ID"/>
              </w:rPr>
              <w:t xml:space="preserve"> 2014</w:t>
            </w:r>
          </w:p>
        </w:tc>
        <w:tc>
          <w:tcPr>
            <w:tcW w:w="1560" w:type="dxa"/>
            <w:tcBorders>
              <w:top w:val="single" w:sz="4" w:space="0" w:color="auto"/>
              <w:left w:val="single" w:sz="4" w:space="0" w:color="auto"/>
              <w:bottom w:val="double" w:sz="4" w:space="0" w:color="auto"/>
              <w:right w:val="single" w:sz="4" w:space="0" w:color="auto"/>
            </w:tcBorders>
            <w:shd w:val="clear" w:color="auto" w:fill="B2A1C7" w:themeFill="accent4" w:themeFillTint="99"/>
            <w:noWrap/>
            <w:vAlign w:val="bottom"/>
            <w:hideMark/>
          </w:tcPr>
          <w:p w:rsidR="001A71C3" w:rsidRPr="00357FBD" w:rsidRDefault="001A71C3" w:rsidP="00B47552">
            <w:pPr>
              <w:contextualSpacing/>
              <w:jc w:val="right"/>
              <w:rPr>
                <w:rFonts w:ascii="Arial" w:hAnsi="Arial" w:cs="Arial"/>
                <w:b/>
                <w:bCs/>
                <w:color w:val="000000"/>
                <w:lang w:eastAsia="id-ID"/>
              </w:rPr>
            </w:pPr>
            <w:r w:rsidRPr="00357FBD">
              <w:rPr>
                <w:rFonts w:ascii="Arial" w:hAnsi="Arial" w:cs="Arial"/>
                <w:b/>
              </w:rPr>
              <w:t>GRDP</w:t>
            </w:r>
            <w:r w:rsidRPr="00357FBD">
              <w:rPr>
                <w:rFonts w:ascii="Arial" w:hAnsi="Arial" w:cs="Arial"/>
                <w:b/>
                <w:bCs/>
                <w:color w:val="000000"/>
                <w:lang w:eastAsia="id-ID"/>
              </w:rPr>
              <w:t xml:space="preserve"> 2015</w:t>
            </w:r>
          </w:p>
        </w:tc>
        <w:tc>
          <w:tcPr>
            <w:tcW w:w="1105" w:type="dxa"/>
            <w:tcBorders>
              <w:top w:val="single" w:sz="4" w:space="0" w:color="auto"/>
              <w:left w:val="single" w:sz="4" w:space="0" w:color="auto"/>
              <w:bottom w:val="double" w:sz="4" w:space="0" w:color="auto"/>
              <w:right w:val="single" w:sz="4" w:space="0" w:color="auto"/>
            </w:tcBorders>
            <w:shd w:val="clear" w:color="auto" w:fill="B2A1C7" w:themeFill="accent4" w:themeFillTint="99"/>
            <w:noWrap/>
            <w:vAlign w:val="bottom"/>
            <w:hideMark/>
          </w:tcPr>
          <w:p w:rsidR="001A71C3" w:rsidRPr="00357FBD" w:rsidRDefault="001A71C3" w:rsidP="00B47552">
            <w:pPr>
              <w:contextualSpacing/>
              <w:jc w:val="right"/>
              <w:rPr>
                <w:rFonts w:ascii="Arial" w:hAnsi="Arial" w:cs="Arial"/>
                <w:b/>
                <w:bCs/>
                <w:color w:val="000000"/>
                <w:lang w:eastAsia="id-ID"/>
              </w:rPr>
            </w:pPr>
            <w:r w:rsidRPr="00357FBD">
              <w:rPr>
                <w:rFonts w:ascii="Arial" w:hAnsi="Arial" w:cs="Arial"/>
                <w:b/>
              </w:rPr>
              <w:t>Quadrant</w:t>
            </w:r>
          </w:p>
        </w:tc>
      </w:tr>
      <w:tr w:rsidR="001A71C3" w:rsidRPr="00357FBD" w:rsidTr="00B47552">
        <w:trPr>
          <w:trHeight w:val="50"/>
          <w:jc w:val="center"/>
        </w:trPr>
        <w:tc>
          <w:tcPr>
            <w:tcW w:w="48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w:t>
            </w:r>
          </w:p>
        </w:tc>
        <w:tc>
          <w:tcPr>
            <w:tcW w:w="186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Asmat</w:t>
            </w: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788.328,61</w:t>
            </w:r>
          </w:p>
        </w:tc>
        <w:tc>
          <w:tcPr>
            <w:tcW w:w="156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831.082,49</w:t>
            </w:r>
          </w:p>
        </w:tc>
        <w:tc>
          <w:tcPr>
            <w:tcW w:w="110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w:t>
            </w:r>
          </w:p>
        </w:tc>
        <w:tc>
          <w:tcPr>
            <w:tcW w:w="18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Biak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2.158.964,49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2.254.816,92</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3</w:t>
            </w:r>
          </w:p>
        </w:tc>
        <w:tc>
          <w:tcPr>
            <w:tcW w:w="18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Boven Digul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2.346.150,96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2.468.482,74</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r>
      <w:tr w:rsidR="001A71C3" w:rsidRPr="00357FBD" w:rsidTr="00B47552">
        <w:trPr>
          <w:trHeight w:val="161"/>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4</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Deiyai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425.336,88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471.671,60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r>
      <w:tr w:rsidR="001A71C3" w:rsidRPr="00357FBD" w:rsidTr="00B47552">
        <w:trPr>
          <w:trHeight w:val="79"/>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5</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Dogiyai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366.619,98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392.533,37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6</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Intan Jaya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412.149,98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452.116,77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7</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Kab Jayapura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5.038.190,97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5.557.746,95</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K1</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8</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Jayawijaya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2.416.172,11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2.578.258,76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9</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Kerom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1.224.239,70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1.308.614,70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10</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Lanyjaya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547.523,90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580.163,36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11</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Memberamo Raya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440.824,53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476.822,52</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12</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Memberamo Tengah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344.236,30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366.598,58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13</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Mappi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953.121,31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1.018.560,21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14</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Merauke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5.252.312,30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5.586.617,68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15</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Mimika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51.013.497,45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54.326.848,32</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16</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Nabire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4.143.384,63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4.421.359,00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17</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Ndunga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372.137,89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407.087,35</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18</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Paniai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1.852.212,27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2.033.474,78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K1</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19</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Pegunungan Bintang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700.783,09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723.898,81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20</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Puncak Jaya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554.683,92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595.277,12</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21</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Puncak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381.722,86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412.594,93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22</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Sarmi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991.923,83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1.057.063,76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23</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Supriori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404.556,82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417.100,97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186"/>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24</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Tolikara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504.607,85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529.156,59</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25</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Waropen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244,60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328,30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26</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Yahokimo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650.159,22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690.497,43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27</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Yalimo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347.173,15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378.228,06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r>
      <w:tr w:rsidR="001A71C3" w:rsidRPr="00357FBD" w:rsidTr="00B47552">
        <w:trPr>
          <w:trHeight w:val="70"/>
          <w:jc w:val="center"/>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28</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Yapen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1.615.976,20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1.708.539,10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r>
      <w:tr w:rsidR="001A71C3" w:rsidRPr="00357FBD" w:rsidTr="00B47552">
        <w:trPr>
          <w:trHeight w:val="70"/>
          <w:jc w:val="center"/>
        </w:trPr>
        <w:tc>
          <w:tcPr>
            <w:tcW w:w="483"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29</w:t>
            </w:r>
          </w:p>
        </w:tc>
        <w:tc>
          <w:tcPr>
            <w:tcW w:w="1863"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Kota Jayapura</w:t>
            </w:r>
          </w:p>
        </w:tc>
        <w:tc>
          <w:tcPr>
            <w:tcW w:w="1559"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9.434.791,40</w:t>
            </w:r>
          </w:p>
        </w:tc>
        <w:tc>
          <w:tcPr>
            <w:tcW w:w="156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10.251.863,96</w:t>
            </w:r>
          </w:p>
        </w:tc>
        <w:tc>
          <w:tcPr>
            <w:tcW w:w="1105"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K1</w:t>
            </w:r>
          </w:p>
        </w:tc>
      </w:tr>
    </w:tbl>
    <w:p w:rsidR="001A71C3" w:rsidRPr="00357FBD" w:rsidRDefault="001A71C3" w:rsidP="001A71C3">
      <w:pPr>
        <w:spacing w:line="259" w:lineRule="auto"/>
        <w:ind w:firstLine="330"/>
        <w:jc w:val="both"/>
        <w:rPr>
          <w:rFonts w:ascii="Arial" w:hAnsi="Arial" w:cs="Arial"/>
        </w:rPr>
      </w:pPr>
    </w:p>
    <w:p w:rsidR="00157F2B" w:rsidRPr="00357FBD" w:rsidRDefault="00157F2B" w:rsidP="002F7316">
      <w:pPr>
        <w:ind w:left="360"/>
        <w:rPr>
          <w:rFonts w:ascii="Arial" w:hAnsi="Arial" w:cs="Arial"/>
          <w:b/>
          <w:bCs/>
        </w:rPr>
      </w:pPr>
    </w:p>
    <w:p w:rsidR="001A71C3" w:rsidRPr="00357FBD" w:rsidRDefault="001A71C3" w:rsidP="001A71C3">
      <w:pPr>
        <w:spacing w:line="259" w:lineRule="auto"/>
        <w:ind w:firstLine="567"/>
        <w:jc w:val="both"/>
        <w:rPr>
          <w:rFonts w:ascii="Arial" w:hAnsi="Arial" w:cs="Arial"/>
        </w:rPr>
      </w:pPr>
      <w:r w:rsidRPr="00357FBD">
        <w:rPr>
          <w:rFonts w:ascii="Arial" w:hAnsi="Arial" w:cs="Arial"/>
        </w:rPr>
        <w:t>The result of classification at early stage of this study shows that there are three (10.34%) regencies are categorized into the first quadrant (K1) i.e. the region with advanced development level and rapid growth. The regions categorized into K1 likely serve as the mainstay economic region are Jayapura and Paniai Regencies and Jayapura Municipality. It can be seen from the classification results showing that three regencies are categorized into regions with advanced development and rapid growth (K1). 24.13% of regencies in Papua Province are classified into advanced but depressed regions, 31.03% of regencies are categorized into potential and developing regions, while the remaining 34.48% are regions with relatively underdeveloped development status. In the next stage, the results of this classification are then used as training data for the formation of decision tree using decision tree. As aforementioned before, two decision tree techniques used in this study are the NBTree and J48 algorithms. In this study, Weka tool is used for decision tree formation process.</w:t>
      </w:r>
    </w:p>
    <w:p w:rsidR="001A71C3" w:rsidRPr="00357FBD" w:rsidRDefault="001A71C3" w:rsidP="001A71C3">
      <w:pPr>
        <w:spacing w:line="259" w:lineRule="auto"/>
        <w:ind w:firstLine="567"/>
        <w:jc w:val="both"/>
        <w:rPr>
          <w:rFonts w:ascii="Arial" w:hAnsi="Arial" w:cs="Arial"/>
        </w:rPr>
      </w:pPr>
      <w:r w:rsidRPr="00357FBD">
        <w:rPr>
          <w:rFonts w:ascii="Arial" w:hAnsi="Arial" w:cs="Arial"/>
        </w:rPr>
        <w:t xml:space="preserve">In algorithm testing, GRDP sector data both in 2014 and 2015 are used as class determinant of classification result. There are 18 attributes used, namely: agriculture, livestock, forestry, fishery (2014_S1 and 2015_S1); mining and extraction sectors (2014_S2 and 2015_S2); manufacturing industry sectors (2014_S3 and 2015_S3); electricity, gas and water sectors (2014_S4 and 2015_S4); construction sector (2014_S5 and 2015_S5) ; trade, hotels and restaurants sectors (2014_S6 and 2015_S6); transportation and communication sectors </w:t>
      </w:r>
      <w:r w:rsidRPr="00357FBD">
        <w:rPr>
          <w:rFonts w:ascii="Arial" w:hAnsi="Arial" w:cs="Arial"/>
        </w:rPr>
        <w:lastRenderedPageBreak/>
        <w:t xml:space="preserve">(2014_S7 and 2015_S7); finance, real estate and corporate services (2014_S8 and 2015_S8); and service sectors (2014_S9 and 2015_S9). </w:t>
      </w:r>
    </w:p>
    <w:p w:rsidR="001A71C3" w:rsidRPr="00357FBD" w:rsidRDefault="001A71C3" w:rsidP="001A71C3">
      <w:pPr>
        <w:spacing w:line="259" w:lineRule="auto"/>
        <w:ind w:firstLine="567"/>
        <w:jc w:val="both"/>
        <w:rPr>
          <w:rFonts w:ascii="Arial" w:hAnsi="Arial" w:cs="Arial"/>
        </w:rPr>
      </w:pPr>
      <w:r w:rsidRPr="00357FBD">
        <w:rPr>
          <w:rFonts w:ascii="Arial" w:hAnsi="Arial" w:cs="Arial"/>
        </w:rPr>
        <w:t xml:space="preserve">Test results of both algorithms show that J48 algorithm has a better accuracy than NBTree. From 29 data instances tested, 19 data are categorized into incorrectly classified instance, thus the inaccurate decision tree formed uses NBTRee of 65.57%. Meanwhile, for J48 algorithm, the inaccurate decision tree formed is smaller i.e. 31.03%. Table 3 shows the comparison of decision tree formation using NBTree and J48 algorithm seen from the value of classification accuracy, Kappa value, mean absolute error, and root mean square error. </w:t>
      </w:r>
    </w:p>
    <w:p w:rsidR="001A71C3" w:rsidRPr="00357FBD" w:rsidRDefault="001A71C3" w:rsidP="001A71C3">
      <w:pPr>
        <w:spacing w:line="259" w:lineRule="auto"/>
        <w:jc w:val="center"/>
        <w:rPr>
          <w:rFonts w:ascii="Arial" w:hAnsi="Arial" w:cs="Arial"/>
        </w:rPr>
      </w:pPr>
    </w:p>
    <w:p w:rsidR="001A71C3" w:rsidRPr="00357FBD" w:rsidRDefault="001A71C3" w:rsidP="001A71C3">
      <w:pPr>
        <w:jc w:val="center"/>
        <w:rPr>
          <w:rFonts w:ascii="Arial" w:hAnsi="Arial" w:cs="Arial"/>
        </w:rPr>
      </w:pPr>
      <w:r w:rsidRPr="00357FBD">
        <w:rPr>
          <w:rFonts w:ascii="Arial" w:hAnsi="Arial" w:cs="Arial"/>
        </w:rPr>
        <w:t xml:space="preserve">Table 3. Comparison of NBTree and J48 </w:t>
      </w:r>
    </w:p>
    <w:p w:rsidR="001A71C3" w:rsidRPr="00357FBD" w:rsidRDefault="001A71C3" w:rsidP="001A71C3">
      <w:pPr>
        <w:jc w:val="center"/>
        <w:rPr>
          <w:rFonts w:ascii="Arial" w:hAnsi="Arial" w:cs="Arial"/>
        </w:rPr>
      </w:pPr>
      <w:r w:rsidRPr="00357FBD">
        <w:rPr>
          <w:rFonts w:ascii="Arial" w:hAnsi="Arial" w:cs="Arial"/>
        </w:rPr>
        <w:t xml:space="preserve">Testing Results </w:t>
      </w:r>
    </w:p>
    <w:tbl>
      <w:tblPr>
        <w:tblW w:w="4184" w:type="dxa"/>
        <w:jc w:val="center"/>
        <w:tblInd w:w="-351" w:type="dxa"/>
        <w:tblBorders>
          <w:top w:val="single" w:sz="4" w:space="0" w:color="000000"/>
          <w:bottom w:val="double" w:sz="4" w:space="0" w:color="000000"/>
          <w:insideH w:val="single" w:sz="4" w:space="0" w:color="000000"/>
        </w:tblBorders>
        <w:tblLook w:val="04A0" w:firstRow="1" w:lastRow="0" w:firstColumn="1" w:lastColumn="0" w:noHBand="0" w:noVBand="1"/>
      </w:tblPr>
      <w:tblGrid>
        <w:gridCol w:w="2596"/>
        <w:gridCol w:w="871"/>
        <w:gridCol w:w="717"/>
      </w:tblGrid>
      <w:tr w:rsidR="001A71C3" w:rsidRPr="00357FBD" w:rsidTr="00A1689B">
        <w:trPr>
          <w:jc w:val="center"/>
        </w:trPr>
        <w:tc>
          <w:tcPr>
            <w:tcW w:w="2596" w:type="dxa"/>
            <w:tcBorders>
              <w:left w:val="single" w:sz="4" w:space="0" w:color="auto"/>
              <w:bottom w:val="double" w:sz="4" w:space="0" w:color="000000"/>
              <w:right w:val="single" w:sz="4" w:space="0" w:color="auto"/>
            </w:tcBorders>
            <w:shd w:val="clear" w:color="auto" w:fill="B2A1C7" w:themeFill="accent4" w:themeFillTint="99"/>
            <w:vAlign w:val="center"/>
          </w:tcPr>
          <w:p w:rsidR="001A71C3" w:rsidRPr="00357FBD" w:rsidRDefault="001A71C3" w:rsidP="00B47552">
            <w:pPr>
              <w:jc w:val="center"/>
              <w:rPr>
                <w:rFonts w:ascii="Arial" w:hAnsi="Arial" w:cs="Arial"/>
                <w:b/>
              </w:rPr>
            </w:pPr>
            <w:r w:rsidRPr="00357FBD">
              <w:rPr>
                <w:rFonts w:ascii="Arial" w:hAnsi="Arial" w:cs="Arial"/>
                <w:b/>
              </w:rPr>
              <w:t>Algorithms</w:t>
            </w:r>
          </w:p>
        </w:tc>
        <w:tc>
          <w:tcPr>
            <w:tcW w:w="871" w:type="dxa"/>
            <w:tcBorders>
              <w:left w:val="single" w:sz="4" w:space="0" w:color="auto"/>
              <w:bottom w:val="double" w:sz="4" w:space="0" w:color="000000"/>
              <w:right w:val="single" w:sz="4" w:space="0" w:color="auto"/>
            </w:tcBorders>
            <w:shd w:val="clear" w:color="auto" w:fill="B2A1C7" w:themeFill="accent4" w:themeFillTint="99"/>
            <w:vAlign w:val="center"/>
          </w:tcPr>
          <w:p w:rsidR="001A71C3" w:rsidRPr="00357FBD" w:rsidRDefault="001A71C3" w:rsidP="00B47552">
            <w:pPr>
              <w:jc w:val="center"/>
              <w:rPr>
                <w:rFonts w:ascii="Arial" w:hAnsi="Arial" w:cs="Arial"/>
                <w:b/>
              </w:rPr>
            </w:pPr>
            <w:r w:rsidRPr="00357FBD">
              <w:rPr>
                <w:rFonts w:ascii="Arial" w:hAnsi="Arial" w:cs="Arial"/>
                <w:b/>
              </w:rPr>
              <w:t>J48</w:t>
            </w:r>
          </w:p>
        </w:tc>
        <w:tc>
          <w:tcPr>
            <w:tcW w:w="717" w:type="dxa"/>
            <w:tcBorders>
              <w:left w:val="single" w:sz="4" w:space="0" w:color="auto"/>
              <w:bottom w:val="double" w:sz="4" w:space="0" w:color="000000"/>
              <w:right w:val="single" w:sz="4" w:space="0" w:color="auto"/>
            </w:tcBorders>
            <w:shd w:val="clear" w:color="auto" w:fill="B2A1C7" w:themeFill="accent4" w:themeFillTint="99"/>
            <w:vAlign w:val="center"/>
          </w:tcPr>
          <w:p w:rsidR="001A71C3" w:rsidRPr="00357FBD" w:rsidRDefault="001A71C3" w:rsidP="00B47552">
            <w:pPr>
              <w:jc w:val="center"/>
              <w:rPr>
                <w:rFonts w:ascii="Arial" w:hAnsi="Arial" w:cs="Arial"/>
                <w:b/>
              </w:rPr>
            </w:pPr>
            <w:r w:rsidRPr="00357FBD">
              <w:rPr>
                <w:rFonts w:ascii="Arial" w:hAnsi="Arial" w:cs="Arial"/>
                <w:b/>
              </w:rPr>
              <w:t>NB-Tree</w:t>
            </w:r>
          </w:p>
        </w:tc>
      </w:tr>
      <w:tr w:rsidR="001A71C3" w:rsidRPr="00357FBD" w:rsidTr="00A1689B">
        <w:trPr>
          <w:trHeight w:val="307"/>
          <w:jc w:val="center"/>
        </w:trPr>
        <w:tc>
          <w:tcPr>
            <w:tcW w:w="2596" w:type="dxa"/>
            <w:tcBorders>
              <w:top w:val="double" w:sz="4" w:space="0" w:color="000000"/>
              <w:left w:val="single" w:sz="4" w:space="0" w:color="auto"/>
              <w:bottom w:val="single" w:sz="4" w:space="0" w:color="000000"/>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rPr>
              <w:t>classification accuracy (%)</w:t>
            </w:r>
          </w:p>
        </w:tc>
        <w:tc>
          <w:tcPr>
            <w:tcW w:w="871" w:type="dxa"/>
            <w:tcBorders>
              <w:top w:val="double" w:sz="4" w:space="0" w:color="000000"/>
              <w:left w:val="single" w:sz="4" w:space="0" w:color="auto"/>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rPr>
              <w:t>68.96</w:t>
            </w:r>
          </w:p>
        </w:tc>
        <w:tc>
          <w:tcPr>
            <w:tcW w:w="717" w:type="dxa"/>
            <w:tcBorders>
              <w:top w:val="double" w:sz="4" w:space="0" w:color="000000"/>
              <w:left w:val="single" w:sz="4" w:space="0" w:color="auto"/>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noProof/>
                <w:lang w:eastAsia="id-ID"/>
              </w:rPr>
              <w:t>34.48</w:t>
            </w:r>
          </w:p>
        </w:tc>
      </w:tr>
      <w:tr w:rsidR="001A71C3" w:rsidRPr="00357FBD" w:rsidTr="00A1689B">
        <w:trPr>
          <w:jc w:val="center"/>
        </w:trPr>
        <w:tc>
          <w:tcPr>
            <w:tcW w:w="2596" w:type="dxa"/>
            <w:tcBorders>
              <w:left w:val="single" w:sz="4" w:space="0" w:color="auto"/>
              <w:bottom w:val="single" w:sz="4" w:space="0" w:color="000000"/>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rPr>
              <w:t>Kappa</w:t>
            </w:r>
          </w:p>
        </w:tc>
        <w:tc>
          <w:tcPr>
            <w:tcW w:w="871" w:type="dxa"/>
            <w:tcBorders>
              <w:left w:val="single" w:sz="4" w:space="0" w:color="auto"/>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rPr>
              <w:t>0.555</w:t>
            </w:r>
          </w:p>
        </w:tc>
        <w:tc>
          <w:tcPr>
            <w:tcW w:w="717" w:type="dxa"/>
            <w:tcBorders>
              <w:left w:val="single" w:sz="4" w:space="0" w:color="auto"/>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noProof/>
                <w:lang w:eastAsia="id-ID"/>
              </w:rPr>
              <w:t>0.155</w:t>
            </w:r>
          </w:p>
        </w:tc>
      </w:tr>
      <w:tr w:rsidR="001A71C3" w:rsidRPr="00357FBD" w:rsidTr="00A1689B">
        <w:trPr>
          <w:jc w:val="center"/>
        </w:trPr>
        <w:tc>
          <w:tcPr>
            <w:tcW w:w="2596" w:type="dxa"/>
            <w:tcBorders>
              <w:left w:val="single" w:sz="4" w:space="0" w:color="auto"/>
              <w:bottom w:val="single" w:sz="4" w:space="0" w:color="000000"/>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rPr>
              <w:t>Mean absolute Error</w:t>
            </w:r>
          </w:p>
        </w:tc>
        <w:tc>
          <w:tcPr>
            <w:tcW w:w="871" w:type="dxa"/>
            <w:tcBorders>
              <w:left w:val="single" w:sz="4" w:space="0" w:color="auto"/>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rPr>
              <w:t>0.229</w:t>
            </w:r>
          </w:p>
        </w:tc>
        <w:tc>
          <w:tcPr>
            <w:tcW w:w="717" w:type="dxa"/>
            <w:tcBorders>
              <w:left w:val="single" w:sz="4" w:space="0" w:color="auto"/>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noProof/>
                <w:lang w:eastAsia="id-ID"/>
              </w:rPr>
              <w:t>0.313</w:t>
            </w:r>
          </w:p>
        </w:tc>
      </w:tr>
      <w:tr w:rsidR="001A71C3" w:rsidRPr="00357FBD" w:rsidTr="00A1689B">
        <w:trPr>
          <w:jc w:val="center"/>
        </w:trPr>
        <w:tc>
          <w:tcPr>
            <w:tcW w:w="2596" w:type="dxa"/>
            <w:tcBorders>
              <w:top w:val="single" w:sz="4" w:space="0" w:color="000000"/>
              <w:left w:val="single" w:sz="4" w:space="0" w:color="auto"/>
              <w:bottom w:val="double" w:sz="4" w:space="0" w:color="000000"/>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rPr>
              <w:t>Root mean squared error</w:t>
            </w:r>
          </w:p>
        </w:tc>
        <w:tc>
          <w:tcPr>
            <w:tcW w:w="871" w:type="dxa"/>
            <w:tcBorders>
              <w:left w:val="single" w:sz="4" w:space="0" w:color="auto"/>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rPr>
              <w:t>0.372</w:t>
            </w:r>
          </w:p>
        </w:tc>
        <w:tc>
          <w:tcPr>
            <w:tcW w:w="717" w:type="dxa"/>
            <w:tcBorders>
              <w:left w:val="single" w:sz="4" w:space="0" w:color="auto"/>
              <w:bottom w:val="double" w:sz="4" w:space="0" w:color="000000"/>
              <w:right w:val="single" w:sz="4" w:space="0" w:color="auto"/>
            </w:tcBorders>
            <w:vAlign w:val="center"/>
          </w:tcPr>
          <w:p w:rsidR="001A71C3" w:rsidRPr="00357FBD" w:rsidRDefault="001A71C3" w:rsidP="00B47552">
            <w:pPr>
              <w:spacing w:after="100" w:afterAutospacing="1"/>
              <w:rPr>
                <w:rFonts w:ascii="Arial" w:hAnsi="Arial" w:cs="Arial"/>
              </w:rPr>
            </w:pPr>
            <w:r w:rsidRPr="00357FBD">
              <w:rPr>
                <w:rFonts w:ascii="Arial" w:hAnsi="Arial" w:cs="Arial"/>
                <w:noProof/>
                <w:lang w:eastAsia="id-ID"/>
              </w:rPr>
              <w:t>0.421</w:t>
            </w:r>
          </w:p>
        </w:tc>
      </w:tr>
    </w:tbl>
    <w:p w:rsidR="001A71C3" w:rsidRPr="00357FBD" w:rsidRDefault="001A71C3" w:rsidP="001A71C3">
      <w:pPr>
        <w:spacing w:line="259" w:lineRule="auto"/>
        <w:jc w:val="both"/>
        <w:rPr>
          <w:rFonts w:ascii="Arial" w:hAnsi="Arial" w:cs="Arial"/>
        </w:rPr>
      </w:pPr>
    </w:p>
    <w:p w:rsidR="001A71C3" w:rsidRPr="00357FBD" w:rsidRDefault="001A71C3" w:rsidP="001A71C3">
      <w:pPr>
        <w:spacing w:line="259" w:lineRule="auto"/>
        <w:ind w:firstLine="567"/>
        <w:jc w:val="both"/>
        <w:rPr>
          <w:rFonts w:ascii="Arial" w:hAnsi="Arial" w:cs="Arial"/>
        </w:rPr>
      </w:pPr>
      <w:r w:rsidRPr="00357FBD">
        <w:rPr>
          <w:rFonts w:ascii="Arial" w:hAnsi="Arial" w:cs="Arial"/>
        </w:rPr>
        <w:t>The formation of decision tree using J48 algorithm shows that the classification of mainstay economic region is more influenced by attribute of electricity, gas and water sectors for data of 2014 (2014_S4). Figures 2a and 2b respectively show the decision tree formed and the rules generated from the decision tree formation process using J48.</w:t>
      </w:r>
    </w:p>
    <w:p w:rsidR="001A71C3" w:rsidRDefault="001A71C3" w:rsidP="002F7316">
      <w:pPr>
        <w:ind w:left="360"/>
        <w:rPr>
          <w:rFonts w:ascii="Arial" w:hAnsi="Arial" w:cs="Arial"/>
          <w:b/>
          <w:bCs/>
          <w:sz w:val="16"/>
        </w:rPr>
      </w:pPr>
    </w:p>
    <w:p w:rsidR="001A71C3" w:rsidRDefault="001A71C3" w:rsidP="001A71C3">
      <w:pPr>
        <w:spacing w:line="259" w:lineRule="auto"/>
        <w:ind w:firstLine="567"/>
        <w:jc w:val="both"/>
        <w:rPr>
          <w:szCs w:val="24"/>
        </w:rPr>
      </w:pPr>
    </w:p>
    <w:p w:rsidR="001A71C3" w:rsidRDefault="001A71C3" w:rsidP="001A71C3">
      <w:pPr>
        <w:jc w:val="center"/>
      </w:pPr>
      <w:r w:rsidRPr="004475A2">
        <w:rPr>
          <w:noProof/>
          <w:szCs w:val="24"/>
        </w:rPr>
        <w:drawing>
          <wp:inline distT="0" distB="0" distL="0" distR="0" wp14:anchorId="57FF85B0" wp14:editId="00B8A515">
            <wp:extent cx="3988632" cy="2162175"/>
            <wp:effectExtent l="19050" t="19050" r="12065" b="9525"/>
            <wp:docPr id="8" name="Picture 8" descr="D:\BAHAN KULIAH S3\PAPER2 MAS HERU\Pohon J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HAN KULIAH S3\PAPER2 MAS HERU\Pohon J48.png"/>
                    <pic:cNvPicPr>
                      <a:picLocks noChangeAspect="1" noChangeArrowheads="1"/>
                    </pic:cNvPicPr>
                  </pic:nvPicPr>
                  <pic:blipFill>
                    <a:blip r:embed="rId9">
                      <a:clrChange>
                        <a:clrFrom>
                          <a:srgbClr val="D4D0C8"/>
                        </a:clrFrom>
                        <a:clrTo>
                          <a:srgbClr val="D4D0C8">
                            <a:alpha val="0"/>
                          </a:srgbClr>
                        </a:clrTo>
                      </a:clrChange>
                      <a:extLst>
                        <a:ext uri="{28A0092B-C50C-407E-A947-70E740481C1C}">
                          <a14:useLocalDpi xmlns:a14="http://schemas.microsoft.com/office/drawing/2010/main" val="0"/>
                        </a:ext>
                      </a:extLst>
                    </a:blip>
                    <a:srcRect/>
                    <a:stretch>
                      <a:fillRect/>
                    </a:stretch>
                  </pic:blipFill>
                  <pic:spPr bwMode="auto">
                    <a:xfrm>
                      <a:off x="0" y="0"/>
                      <a:ext cx="3994778" cy="2165507"/>
                    </a:xfrm>
                    <a:prstGeom prst="rect">
                      <a:avLst/>
                    </a:prstGeom>
                    <a:noFill/>
                    <a:ln>
                      <a:solidFill>
                        <a:schemeClr val="bg1">
                          <a:lumMod val="75000"/>
                        </a:schemeClr>
                      </a:solidFill>
                    </a:ln>
                  </pic:spPr>
                </pic:pic>
              </a:graphicData>
            </a:graphic>
          </wp:inline>
        </w:drawing>
      </w:r>
    </w:p>
    <w:p w:rsidR="001A71C3" w:rsidRDefault="001A71C3" w:rsidP="001A71C3">
      <w:pPr>
        <w:jc w:val="center"/>
      </w:pPr>
    </w:p>
    <w:p w:rsidR="001A71C3" w:rsidRPr="00357FBD" w:rsidRDefault="001A71C3" w:rsidP="001A71C3">
      <w:pPr>
        <w:jc w:val="center"/>
        <w:rPr>
          <w:rFonts w:ascii="Arial" w:hAnsi="Arial" w:cs="Arial"/>
        </w:rPr>
      </w:pPr>
      <w:r w:rsidRPr="00357FBD">
        <w:rPr>
          <w:rFonts w:ascii="Arial" w:hAnsi="Arial" w:cs="Arial"/>
        </w:rPr>
        <w:t>(a)</w:t>
      </w:r>
    </w:p>
    <w:p w:rsidR="001A71C3" w:rsidRPr="00357FBD" w:rsidRDefault="001A71C3" w:rsidP="001A71C3">
      <w:pPr>
        <w:spacing w:beforeLines="100" w:before="240" w:afterLines="50" w:after="120"/>
        <w:jc w:val="both"/>
        <w:rPr>
          <w:rFonts w:ascii="Arial" w:hAnsi="Arial" w:cs="Arial"/>
          <w:b/>
        </w:rPr>
      </w:pPr>
      <w:r w:rsidRPr="00357FBD">
        <w:rPr>
          <w:rFonts w:ascii="Arial" w:hAnsi="Arial" w:cs="Arial"/>
          <w:noProof/>
        </w:rPr>
        <mc:AlternateContent>
          <mc:Choice Requires="wps">
            <w:drawing>
              <wp:anchor distT="0" distB="0" distL="114300" distR="114300" simplePos="0" relativeHeight="251659264" behindDoc="0" locked="0" layoutInCell="1" allowOverlap="1" wp14:anchorId="13C6D447" wp14:editId="4DCA57F9">
                <wp:simplePos x="0" y="0"/>
                <wp:positionH relativeFrom="column">
                  <wp:posOffset>1282065</wp:posOffset>
                </wp:positionH>
                <wp:positionV relativeFrom="paragraph">
                  <wp:posOffset>106681</wp:posOffset>
                </wp:positionV>
                <wp:extent cx="2905125" cy="9334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905125" cy="933450"/>
                        </a:xfrm>
                        <a:prstGeom prst="rect">
                          <a:avLst/>
                        </a:prstGeom>
                        <a:solidFill>
                          <a:schemeClr val="bg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689B" w:rsidRDefault="00A1689B" w:rsidP="001A71C3">
                            <w:pPr>
                              <w:shd w:val="clear" w:color="auto" w:fill="FFFFFF" w:themeFill="background1"/>
                            </w:pPr>
                          </w:p>
                          <w:p w:rsidR="00B47552" w:rsidRPr="000E728E" w:rsidRDefault="00B47552" w:rsidP="001A71C3">
                            <w:pPr>
                              <w:shd w:val="clear" w:color="auto" w:fill="FFFFFF" w:themeFill="background1"/>
                            </w:pPr>
                            <w:r w:rsidRPr="000E728E">
                              <w:t>2014_S4 &lt;= 486</w:t>
                            </w:r>
                          </w:p>
                          <w:p w:rsidR="00B47552" w:rsidRPr="000E728E" w:rsidRDefault="00B47552" w:rsidP="001A71C3">
                            <w:pPr>
                              <w:shd w:val="clear" w:color="auto" w:fill="FFFFFF" w:themeFill="background1"/>
                            </w:pPr>
                            <w:r w:rsidRPr="000E728E">
                              <w:t>|     2014_S4 &lt;= 67.049972: K3 (10.0/2.0)</w:t>
                            </w:r>
                          </w:p>
                          <w:p w:rsidR="00B47552" w:rsidRPr="000E728E" w:rsidRDefault="00B47552" w:rsidP="001A71C3">
                            <w:pPr>
                              <w:shd w:val="clear" w:color="auto" w:fill="FFFFFF" w:themeFill="background1"/>
                            </w:pPr>
                            <w:r w:rsidRPr="000E728E">
                              <w:t>|     2014_S4 &gt; 67.049972: K4 (11.0/3.0)</w:t>
                            </w:r>
                          </w:p>
                          <w:p w:rsidR="00B47552" w:rsidRPr="000E728E" w:rsidRDefault="00B47552" w:rsidP="001A71C3">
                            <w:pPr>
                              <w:shd w:val="clear" w:color="auto" w:fill="FFFFFF" w:themeFill="background1"/>
                            </w:pPr>
                            <w:r w:rsidRPr="000E728E">
                              <w:t>2014_S4 &gt; 486: K2 (8.0/2.0)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0.95pt;margin-top:8.4pt;width:228.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" fillcolor="white [3212]" strokeweight=".25pt">
                <v:textbox>
                  <w:txbxContent>
                    <w:p w:rsidR="00A1689B" w:rsidRDefault="00A1689B" w:rsidP="001A71C3">
                      <w:pPr>
                        <w:shd w:val="clear" w:color="auto" w:fill="FFFFFF" w:themeFill="background1"/>
                      </w:pPr>
                    </w:p>
                    <w:p w:rsidR="00B47552" w:rsidRPr="000E728E" w:rsidRDefault="00B47552" w:rsidP="001A71C3">
                      <w:pPr>
                        <w:shd w:val="clear" w:color="auto" w:fill="FFFFFF" w:themeFill="background1"/>
                      </w:pPr>
                      <w:r w:rsidRPr="000E728E">
                        <w:t>2014_S4 &lt;= 486</w:t>
                      </w:r>
                    </w:p>
                    <w:p w:rsidR="00B47552" w:rsidRPr="000E728E" w:rsidRDefault="00B47552" w:rsidP="001A71C3">
                      <w:pPr>
                        <w:shd w:val="clear" w:color="auto" w:fill="FFFFFF" w:themeFill="background1"/>
                      </w:pPr>
                      <w:r w:rsidRPr="000E728E">
                        <w:t>|     2014_S4 &lt;= 67.049972: K3 (10.0/2.0)</w:t>
                      </w:r>
                    </w:p>
                    <w:p w:rsidR="00B47552" w:rsidRPr="000E728E" w:rsidRDefault="00B47552" w:rsidP="001A71C3">
                      <w:pPr>
                        <w:shd w:val="clear" w:color="auto" w:fill="FFFFFF" w:themeFill="background1"/>
                      </w:pPr>
                      <w:r w:rsidRPr="000E728E">
                        <w:t>|     2014_S4 &gt; 67.049972: K4 (11.0/3.0)</w:t>
                      </w:r>
                    </w:p>
                    <w:p w:rsidR="00B47552" w:rsidRPr="000E728E" w:rsidRDefault="00B47552" w:rsidP="001A71C3">
                      <w:pPr>
                        <w:shd w:val="clear" w:color="auto" w:fill="FFFFFF" w:themeFill="background1"/>
                      </w:pPr>
                      <w:r w:rsidRPr="000E728E">
                        <w:t>2014_S4 &gt; 486: K2 (8.0/2.0)</w:t>
                      </w:r>
                    </w:p>
                  </w:txbxContent>
                </v:textbox>
              </v:shape>
            </w:pict>
          </mc:Fallback>
        </mc:AlternateContent>
      </w:r>
    </w:p>
    <w:p w:rsidR="001A71C3" w:rsidRPr="00357FBD" w:rsidRDefault="001A71C3" w:rsidP="001A71C3">
      <w:pPr>
        <w:spacing w:beforeLines="100" w:before="240" w:afterLines="50" w:after="120"/>
        <w:jc w:val="both"/>
        <w:rPr>
          <w:rFonts w:ascii="Arial" w:hAnsi="Arial" w:cs="Arial"/>
          <w:b/>
        </w:rPr>
      </w:pPr>
    </w:p>
    <w:p w:rsidR="001A71C3" w:rsidRPr="00357FBD" w:rsidRDefault="001A71C3" w:rsidP="001A71C3">
      <w:pPr>
        <w:spacing w:beforeLines="100" w:before="240" w:afterLines="50" w:after="120"/>
        <w:jc w:val="both"/>
        <w:rPr>
          <w:rFonts w:ascii="Arial" w:hAnsi="Arial" w:cs="Arial"/>
          <w:b/>
        </w:rPr>
      </w:pPr>
    </w:p>
    <w:p w:rsidR="001A71C3" w:rsidRPr="00357FBD" w:rsidRDefault="001A71C3" w:rsidP="001A71C3">
      <w:pPr>
        <w:jc w:val="center"/>
        <w:rPr>
          <w:rFonts w:ascii="Arial" w:hAnsi="Arial" w:cs="Arial"/>
        </w:rPr>
      </w:pPr>
    </w:p>
    <w:p w:rsidR="001A71C3" w:rsidRDefault="001A71C3" w:rsidP="001A71C3">
      <w:pPr>
        <w:jc w:val="center"/>
        <w:rPr>
          <w:rFonts w:ascii="Arial" w:hAnsi="Arial" w:cs="Arial"/>
        </w:rPr>
      </w:pPr>
      <w:r w:rsidRPr="00357FBD">
        <w:rPr>
          <w:rFonts w:ascii="Arial" w:hAnsi="Arial" w:cs="Arial"/>
        </w:rPr>
        <w:t>(b)</w:t>
      </w:r>
    </w:p>
    <w:p w:rsidR="00A1689B" w:rsidRPr="00357FBD" w:rsidRDefault="00A1689B" w:rsidP="001A71C3">
      <w:pPr>
        <w:jc w:val="center"/>
        <w:rPr>
          <w:rFonts w:ascii="Arial" w:hAnsi="Arial" w:cs="Arial"/>
        </w:rPr>
      </w:pPr>
    </w:p>
    <w:p w:rsidR="001A71C3" w:rsidRPr="00357FBD" w:rsidRDefault="001A71C3" w:rsidP="001A71C3">
      <w:pPr>
        <w:spacing w:line="259" w:lineRule="auto"/>
        <w:jc w:val="center"/>
        <w:rPr>
          <w:rFonts w:ascii="Arial" w:hAnsi="Arial" w:cs="Arial"/>
        </w:rPr>
      </w:pPr>
      <w:r w:rsidRPr="00357FBD">
        <w:rPr>
          <w:rFonts w:ascii="Arial" w:hAnsi="Arial" w:cs="Arial"/>
        </w:rPr>
        <w:t>Figure 2. Decision Tree of J48 Results</w:t>
      </w:r>
    </w:p>
    <w:p w:rsidR="001A71C3" w:rsidRPr="00357FBD" w:rsidRDefault="001A71C3" w:rsidP="001A71C3">
      <w:pPr>
        <w:spacing w:line="259" w:lineRule="auto"/>
        <w:ind w:firstLine="567"/>
        <w:jc w:val="both"/>
        <w:rPr>
          <w:rFonts w:ascii="Arial" w:hAnsi="Arial" w:cs="Arial"/>
        </w:rPr>
      </w:pPr>
    </w:p>
    <w:p w:rsidR="001A71C3" w:rsidRPr="00357FBD" w:rsidRDefault="001A71C3" w:rsidP="001A71C3">
      <w:pPr>
        <w:spacing w:line="259" w:lineRule="auto"/>
        <w:ind w:firstLine="567"/>
        <w:jc w:val="both"/>
        <w:rPr>
          <w:rFonts w:ascii="Arial" w:hAnsi="Arial" w:cs="Arial"/>
        </w:rPr>
      </w:pPr>
    </w:p>
    <w:p w:rsidR="001A71C3" w:rsidRDefault="001A71C3" w:rsidP="001A71C3">
      <w:pPr>
        <w:spacing w:line="259" w:lineRule="auto"/>
        <w:ind w:firstLine="567"/>
        <w:jc w:val="both"/>
        <w:rPr>
          <w:rFonts w:ascii="Arial" w:hAnsi="Arial" w:cs="Arial"/>
        </w:rPr>
      </w:pPr>
      <w:r w:rsidRPr="00357FBD">
        <w:rPr>
          <w:rFonts w:ascii="Arial" w:hAnsi="Arial" w:cs="Arial"/>
        </w:rPr>
        <w:t xml:space="preserve">The next stage is testing the data testing (2015 GRDP sector data) into the decision tree that is formed. Afterwards, the result of 2015 GRDP data classification using decision tree in </w:t>
      </w:r>
      <w:r w:rsidRPr="00357FBD">
        <w:rPr>
          <w:rFonts w:ascii="Arial" w:hAnsi="Arial" w:cs="Arial"/>
        </w:rPr>
        <w:lastRenderedPageBreak/>
        <w:t xml:space="preserve">Figure 2a is compared with the result of classification using Klassen which has been conducted earlier. Among the 29 regencies in Papua Province based on classification using decision tree to the data of 2015, there are three regions which are indicated as mainstay regions. In this case, the result of J48 decision tree has differences especially from the region identified as a mainstay economic region. The result of regional classification using J48 shows that there is no region which is categorized into K1 or region with advanced development level and rapid growth. Most regencies in Papua Province, based on the J48 classification, are categorized fall K2, K3, and K4. The measurement of accuracy using means square error to the Klassen result classification and J48 Decision Tree show that the accuracy level is 65.51%. Table 4 shows the comparison of classification results using Klassen and J48 Decision Tree. </w:t>
      </w:r>
    </w:p>
    <w:p w:rsidR="00D61780" w:rsidRPr="00357FBD" w:rsidRDefault="00D61780" w:rsidP="001A71C3">
      <w:pPr>
        <w:spacing w:line="259" w:lineRule="auto"/>
        <w:ind w:firstLine="567"/>
        <w:jc w:val="both"/>
        <w:rPr>
          <w:rFonts w:ascii="Arial" w:hAnsi="Arial" w:cs="Arial"/>
        </w:rPr>
      </w:pPr>
    </w:p>
    <w:p w:rsidR="001A71C3" w:rsidRPr="00357FBD" w:rsidRDefault="001A71C3" w:rsidP="001A71C3">
      <w:pPr>
        <w:spacing w:line="259" w:lineRule="auto"/>
        <w:jc w:val="center"/>
        <w:rPr>
          <w:rFonts w:ascii="Arial" w:hAnsi="Arial" w:cs="Arial"/>
        </w:rPr>
      </w:pPr>
      <w:r w:rsidRPr="00357FBD">
        <w:rPr>
          <w:rFonts w:ascii="Arial" w:hAnsi="Arial" w:cs="Arial"/>
        </w:rPr>
        <w:t>Table 4. Comparison of Klassen and J48 Classifications</w:t>
      </w:r>
    </w:p>
    <w:tbl>
      <w:tblPr>
        <w:tblW w:w="5965"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2219"/>
        <w:gridCol w:w="1559"/>
        <w:gridCol w:w="984"/>
        <w:gridCol w:w="850"/>
      </w:tblGrid>
      <w:tr w:rsidR="001A71C3" w:rsidRPr="00357FBD" w:rsidTr="00B47552">
        <w:trPr>
          <w:trHeight w:val="300"/>
          <w:jc w:val="center"/>
        </w:trPr>
        <w:tc>
          <w:tcPr>
            <w:tcW w:w="520" w:type="dxa"/>
            <w:tcBorders>
              <w:left w:val="single" w:sz="4" w:space="0" w:color="auto"/>
              <w:bottom w:val="double" w:sz="4" w:space="0" w:color="000000"/>
              <w:right w:val="single" w:sz="4" w:space="0" w:color="auto"/>
            </w:tcBorders>
            <w:shd w:val="clear" w:color="auto" w:fill="B2A1C7" w:themeFill="accent4" w:themeFillTint="99"/>
            <w:noWrap/>
            <w:vAlign w:val="bottom"/>
            <w:hideMark/>
          </w:tcPr>
          <w:p w:rsidR="001A71C3" w:rsidRPr="00357FBD" w:rsidRDefault="001A71C3" w:rsidP="00B47552">
            <w:pPr>
              <w:contextualSpacing/>
              <w:jc w:val="center"/>
              <w:rPr>
                <w:rFonts w:ascii="Arial" w:hAnsi="Arial" w:cs="Arial"/>
                <w:b/>
                <w:bCs/>
                <w:color w:val="000000"/>
                <w:lang w:eastAsia="id-ID"/>
              </w:rPr>
            </w:pPr>
            <w:r w:rsidRPr="00357FBD">
              <w:rPr>
                <w:rFonts w:ascii="Arial" w:hAnsi="Arial" w:cs="Arial"/>
                <w:b/>
                <w:bCs/>
                <w:color w:val="000000"/>
                <w:lang w:eastAsia="id-ID"/>
              </w:rPr>
              <w:t>No</w:t>
            </w:r>
          </w:p>
        </w:tc>
        <w:tc>
          <w:tcPr>
            <w:tcW w:w="2219" w:type="dxa"/>
            <w:tcBorders>
              <w:left w:val="single" w:sz="4" w:space="0" w:color="auto"/>
              <w:bottom w:val="double" w:sz="4" w:space="0" w:color="000000"/>
              <w:right w:val="single" w:sz="4" w:space="0" w:color="auto"/>
            </w:tcBorders>
            <w:shd w:val="clear" w:color="auto" w:fill="B2A1C7" w:themeFill="accent4" w:themeFillTint="99"/>
            <w:noWrap/>
            <w:vAlign w:val="bottom"/>
            <w:hideMark/>
          </w:tcPr>
          <w:p w:rsidR="001A71C3" w:rsidRPr="00357FBD" w:rsidRDefault="001A71C3" w:rsidP="00B47552">
            <w:pPr>
              <w:contextualSpacing/>
              <w:jc w:val="center"/>
              <w:rPr>
                <w:rFonts w:ascii="Arial" w:hAnsi="Arial" w:cs="Arial"/>
                <w:b/>
                <w:bCs/>
                <w:color w:val="000000"/>
                <w:lang w:eastAsia="id-ID"/>
              </w:rPr>
            </w:pPr>
            <w:r w:rsidRPr="00357FBD">
              <w:rPr>
                <w:rFonts w:ascii="Arial" w:hAnsi="Arial" w:cs="Arial"/>
                <w:b/>
                <w:bCs/>
                <w:color w:val="000000"/>
                <w:lang w:eastAsia="id-ID"/>
              </w:rPr>
              <w:t>District</w:t>
            </w:r>
          </w:p>
        </w:tc>
        <w:tc>
          <w:tcPr>
            <w:tcW w:w="1559" w:type="dxa"/>
            <w:tcBorders>
              <w:left w:val="single" w:sz="4" w:space="0" w:color="auto"/>
              <w:bottom w:val="double" w:sz="4" w:space="0" w:color="000000"/>
              <w:right w:val="single" w:sz="4" w:space="0" w:color="auto"/>
            </w:tcBorders>
            <w:shd w:val="clear" w:color="auto" w:fill="B2A1C7" w:themeFill="accent4" w:themeFillTint="99"/>
            <w:noWrap/>
            <w:vAlign w:val="bottom"/>
            <w:hideMark/>
          </w:tcPr>
          <w:p w:rsidR="001A71C3" w:rsidRPr="00357FBD" w:rsidRDefault="001A71C3" w:rsidP="00B47552">
            <w:pPr>
              <w:contextualSpacing/>
              <w:jc w:val="right"/>
              <w:rPr>
                <w:rFonts w:ascii="Arial" w:hAnsi="Arial" w:cs="Arial"/>
                <w:b/>
                <w:bCs/>
                <w:color w:val="000000"/>
                <w:lang w:eastAsia="id-ID"/>
              </w:rPr>
            </w:pPr>
            <w:r w:rsidRPr="00357FBD">
              <w:rPr>
                <w:rFonts w:ascii="Arial" w:hAnsi="Arial" w:cs="Arial"/>
                <w:b/>
              </w:rPr>
              <w:t>GRDP</w:t>
            </w:r>
            <w:r w:rsidRPr="00357FBD">
              <w:rPr>
                <w:rFonts w:ascii="Arial" w:hAnsi="Arial" w:cs="Arial"/>
                <w:b/>
                <w:bCs/>
                <w:color w:val="000000"/>
                <w:lang w:eastAsia="id-ID"/>
              </w:rPr>
              <w:t xml:space="preserve"> 2015</w:t>
            </w:r>
          </w:p>
        </w:tc>
        <w:tc>
          <w:tcPr>
            <w:tcW w:w="817" w:type="dxa"/>
            <w:tcBorders>
              <w:left w:val="single" w:sz="4" w:space="0" w:color="auto"/>
              <w:bottom w:val="double" w:sz="4" w:space="0" w:color="000000"/>
              <w:right w:val="single" w:sz="4" w:space="0" w:color="auto"/>
            </w:tcBorders>
            <w:shd w:val="clear" w:color="auto" w:fill="B2A1C7" w:themeFill="accent4" w:themeFillTint="99"/>
            <w:vAlign w:val="bottom"/>
          </w:tcPr>
          <w:p w:rsidR="001A71C3" w:rsidRPr="00357FBD" w:rsidRDefault="001A71C3" w:rsidP="00B47552">
            <w:pPr>
              <w:contextualSpacing/>
              <w:jc w:val="right"/>
              <w:rPr>
                <w:rFonts w:ascii="Arial" w:hAnsi="Arial" w:cs="Arial"/>
                <w:b/>
                <w:bCs/>
                <w:color w:val="000000"/>
                <w:lang w:eastAsia="id-ID"/>
              </w:rPr>
            </w:pPr>
            <w:r w:rsidRPr="00357FBD">
              <w:rPr>
                <w:rFonts w:ascii="Arial" w:hAnsi="Arial" w:cs="Arial"/>
                <w:b/>
                <w:bCs/>
                <w:color w:val="000000"/>
                <w:lang w:eastAsia="id-ID"/>
              </w:rPr>
              <w:t>Klassen</w:t>
            </w:r>
          </w:p>
        </w:tc>
        <w:tc>
          <w:tcPr>
            <w:tcW w:w="850" w:type="dxa"/>
            <w:tcBorders>
              <w:left w:val="single" w:sz="4" w:space="0" w:color="auto"/>
              <w:bottom w:val="double" w:sz="4" w:space="0" w:color="000000"/>
              <w:right w:val="single" w:sz="4" w:space="0" w:color="auto"/>
            </w:tcBorders>
            <w:shd w:val="clear" w:color="auto" w:fill="B2A1C7" w:themeFill="accent4" w:themeFillTint="99"/>
            <w:noWrap/>
            <w:vAlign w:val="bottom"/>
            <w:hideMark/>
          </w:tcPr>
          <w:p w:rsidR="001A71C3" w:rsidRPr="00357FBD" w:rsidRDefault="001A71C3" w:rsidP="00B47552">
            <w:pPr>
              <w:contextualSpacing/>
              <w:jc w:val="right"/>
              <w:rPr>
                <w:rFonts w:ascii="Arial" w:hAnsi="Arial" w:cs="Arial"/>
                <w:b/>
                <w:bCs/>
                <w:color w:val="000000"/>
                <w:lang w:eastAsia="id-ID"/>
              </w:rPr>
            </w:pPr>
            <w:r w:rsidRPr="00357FBD">
              <w:rPr>
                <w:rFonts w:ascii="Arial" w:hAnsi="Arial" w:cs="Arial"/>
                <w:b/>
                <w:bCs/>
                <w:color w:val="000000"/>
                <w:lang w:eastAsia="id-ID"/>
              </w:rPr>
              <w:t>J48</w:t>
            </w:r>
          </w:p>
        </w:tc>
      </w:tr>
      <w:tr w:rsidR="001A71C3" w:rsidRPr="00357FBD" w:rsidTr="00B47552">
        <w:trPr>
          <w:trHeight w:val="50"/>
          <w:jc w:val="center"/>
        </w:trPr>
        <w:tc>
          <w:tcPr>
            <w:tcW w:w="520" w:type="dxa"/>
            <w:tcBorders>
              <w:top w:val="double" w:sz="4" w:space="0" w:color="000000"/>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w:t>
            </w:r>
          </w:p>
        </w:tc>
        <w:tc>
          <w:tcPr>
            <w:tcW w:w="2219" w:type="dxa"/>
            <w:tcBorders>
              <w:top w:val="double" w:sz="4" w:space="0" w:color="000000"/>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Asmat</w:t>
            </w:r>
          </w:p>
        </w:tc>
        <w:tc>
          <w:tcPr>
            <w:tcW w:w="1559" w:type="dxa"/>
            <w:tcBorders>
              <w:top w:val="double" w:sz="4" w:space="0" w:color="000000"/>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831.082,49</w:t>
            </w:r>
          </w:p>
        </w:tc>
        <w:tc>
          <w:tcPr>
            <w:tcW w:w="817" w:type="dxa"/>
            <w:tcBorders>
              <w:top w:val="double" w:sz="4" w:space="0" w:color="000000"/>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top w:val="double" w:sz="4" w:space="0" w:color="000000"/>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10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w:t>
            </w:r>
          </w:p>
        </w:tc>
        <w:tc>
          <w:tcPr>
            <w:tcW w:w="2219"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Biak</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2.254.816,92</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3</w:t>
            </w:r>
          </w:p>
        </w:tc>
        <w:tc>
          <w:tcPr>
            <w:tcW w:w="2219"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Boven Digul</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2.468.482,74</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4</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Deiyai</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471.671,60</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K3</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5</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Dogiyai</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392.533,37</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K3</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6</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Intan Jaya</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452.116,77</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K3</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7</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Kab Jayapura</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5.557.746,95</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K1</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8</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Jayawijaya</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2.578.258,76</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9</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Kerom</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1.308.614,70</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r w:rsidR="001A71C3" w:rsidRPr="00357FBD" w:rsidTr="00B47552">
        <w:trPr>
          <w:trHeight w:val="195"/>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10</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Lanyjaya</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580.163,36</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K3</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11</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Memberamo Raya</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476.822,52</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K3</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12</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Memberamo Tengah</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366.598,58</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K3</w:t>
            </w:r>
          </w:p>
        </w:tc>
      </w:tr>
      <w:tr w:rsidR="001A71C3" w:rsidRPr="00357FBD" w:rsidTr="00B47552">
        <w:trPr>
          <w:trHeight w:val="105"/>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13</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Mappi</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1.018.560,21</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14</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Merauke</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5.586.617,68</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15</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Mimika</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54.326.848,32</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16</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Nabire</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4.421.359,00</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17</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Ndunga</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407.087,35</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18</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Paniai</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2.033.474,78</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K1</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95"/>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19</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Pegunungan Bintang</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723.898,81</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156"/>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20</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Puncak Jaya</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595.277,12</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21</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Puncak</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412.594,93</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K3</w:t>
            </w:r>
          </w:p>
        </w:tc>
      </w:tr>
      <w:tr w:rsidR="001A71C3" w:rsidRPr="00357FBD" w:rsidTr="00B47552">
        <w:trPr>
          <w:trHeight w:val="133"/>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22</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Sarmi</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1.057.063,76</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23</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Supriori</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417.100,97</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24</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Tolikara</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529.156,59</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25</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Waropen</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328,30</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26</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Yahokimo</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690.497,43</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K4</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K4</w:t>
            </w:r>
          </w:p>
        </w:tc>
      </w:tr>
      <w:tr w:rsidR="001A71C3" w:rsidRPr="00357FBD" w:rsidTr="00B47552">
        <w:trPr>
          <w:trHeight w:val="70"/>
          <w:jc w:val="center"/>
        </w:trPr>
        <w:tc>
          <w:tcPr>
            <w:tcW w:w="52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27</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Yalimo</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378.228,06</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K3</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K3</w:t>
            </w:r>
          </w:p>
        </w:tc>
      </w:tr>
      <w:tr w:rsidR="001A71C3" w:rsidRPr="00357FBD" w:rsidTr="00B47552">
        <w:trPr>
          <w:trHeight w:val="70"/>
          <w:jc w:val="center"/>
        </w:trPr>
        <w:tc>
          <w:tcPr>
            <w:tcW w:w="520" w:type="dxa"/>
            <w:tcBorders>
              <w:left w:val="single" w:sz="4" w:space="0" w:color="auto"/>
              <w:right w:val="single" w:sz="4" w:space="0" w:color="auto"/>
            </w:tcBorders>
            <w:shd w:val="clear" w:color="000000" w:fill="FFFFFF"/>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28</w:t>
            </w:r>
          </w:p>
        </w:tc>
        <w:tc>
          <w:tcPr>
            <w:tcW w:w="2219"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Yapen</w:t>
            </w:r>
          </w:p>
        </w:tc>
        <w:tc>
          <w:tcPr>
            <w:tcW w:w="1559" w:type="dxa"/>
            <w:tcBorders>
              <w:left w:val="single" w:sz="4" w:space="0" w:color="auto"/>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1.708.539,10</w:t>
            </w:r>
          </w:p>
        </w:tc>
        <w:tc>
          <w:tcPr>
            <w:tcW w:w="817" w:type="dxa"/>
            <w:tcBorders>
              <w:left w:val="single" w:sz="4" w:space="0" w:color="auto"/>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K2</w:t>
            </w:r>
          </w:p>
        </w:tc>
        <w:tc>
          <w:tcPr>
            <w:tcW w:w="850" w:type="dxa"/>
            <w:tcBorders>
              <w:left w:val="single" w:sz="4" w:space="0" w:color="auto"/>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r w:rsidR="001A71C3" w:rsidRPr="00357FBD" w:rsidTr="00B47552">
        <w:trPr>
          <w:trHeight w:val="70"/>
          <w:jc w:val="center"/>
        </w:trPr>
        <w:tc>
          <w:tcPr>
            <w:tcW w:w="520" w:type="dxa"/>
            <w:tcBorders>
              <w:left w:val="single" w:sz="4" w:space="0" w:color="auto"/>
              <w:bottom w:val="double" w:sz="4" w:space="0" w:color="000000"/>
              <w:right w:val="single" w:sz="4" w:space="0" w:color="auto"/>
            </w:tcBorders>
            <w:shd w:val="clear" w:color="auto" w:fill="auto"/>
            <w:noWrap/>
            <w:vAlign w:val="center"/>
            <w:hideMark/>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29</w:t>
            </w:r>
          </w:p>
        </w:tc>
        <w:tc>
          <w:tcPr>
            <w:tcW w:w="2219" w:type="dxa"/>
            <w:tcBorders>
              <w:left w:val="single" w:sz="4" w:space="0" w:color="auto"/>
              <w:bottom w:val="double" w:sz="4" w:space="0" w:color="000000"/>
              <w:right w:val="single" w:sz="4" w:space="0" w:color="auto"/>
            </w:tcBorders>
            <w:shd w:val="clear" w:color="auto" w:fill="auto"/>
            <w:noWrap/>
            <w:vAlign w:val="center"/>
            <w:hideMark/>
          </w:tcPr>
          <w:p w:rsidR="001A71C3" w:rsidRPr="00357FBD" w:rsidRDefault="001A71C3" w:rsidP="00B47552">
            <w:pPr>
              <w:contextualSpacing/>
              <w:rPr>
                <w:rFonts w:ascii="Arial" w:hAnsi="Arial" w:cs="Arial"/>
                <w:color w:val="000000"/>
                <w:lang w:eastAsia="id-ID"/>
              </w:rPr>
            </w:pPr>
            <w:r w:rsidRPr="00357FBD">
              <w:rPr>
                <w:rFonts w:ascii="Arial" w:hAnsi="Arial" w:cs="Arial"/>
                <w:color w:val="000000"/>
                <w:lang w:eastAsia="id-ID"/>
              </w:rPr>
              <w:t>Kota Jayapura</w:t>
            </w:r>
          </w:p>
        </w:tc>
        <w:tc>
          <w:tcPr>
            <w:tcW w:w="1559" w:type="dxa"/>
            <w:tcBorders>
              <w:left w:val="single" w:sz="4" w:space="0" w:color="auto"/>
              <w:bottom w:val="double" w:sz="4" w:space="0" w:color="000000"/>
              <w:right w:val="single" w:sz="4" w:space="0" w:color="auto"/>
            </w:tcBorders>
            <w:shd w:val="clear" w:color="auto" w:fill="auto"/>
            <w:noWrap/>
            <w:vAlign w:val="center"/>
            <w:hideMark/>
          </w:tcPr>
          <w:p w:rsidR="001A71C3" w:rsidRPr="00357FBD" w:rsidRDefault="001A71C3" w:rsidP="003C6916">
            <w:pPr>
              <w:contextualSpacing/>
              <w:jc w:val="center"/>
              <w:rPr>
                <w:rFonts w:ascii="Arial" w:hAnsi="Arial" w:cs="Arial"/>
                <w:color w:val="000000"/>
                <w:lang w:eastAsia="id-ID"/>
              </w:rPr>
            </w:pPr>
            <w:r w:rsidRPr="00357FBD">
              <w:rPr>
                <w:rFonts w:ascii="Arial" w:hAnsi="Arial" w:cs="Arial"/>
                <w:color w:val="000000"/>
                <w:lang w:eastAsia="id-ID"/>
              </w:rPr>
              <w:t>10.251.863,96</w:t>
            </w:r>
          </w:p>
        </w:tc>
        <w:tc>
          <w:tcPr>
            <w:tcW w:w="817" w:type="dxa"/>
            <w:tcBorders>
              <w:left w:val="single" w:sz="4" w:space="0" w:color="auto"/>
              <w:bottom w:val="double" w:sz="4" w:space="0" w:color="000000"/>
              <w:right w:val="single" w:sz="4" w:space="0" w:color="auto"/>
            </w:tcBorders>
            <w:vAlign w:val="center"/>
          </w:tcPr>
          <w:p w:rsidR="001A71C3" w:rsidRPr="00357FBD" w:rsidRDefault="001A71C3" w:rsidP="00B47552">
            <w:pPr>
              <w:contextualSpacing/>
              <w:jc w:val="center"/>
              <w:rPr>
                <w:rFonts w:ascii="Arial" w:hAnsi="Arial" w:cs="Arial"/>
                <w:color w:val="000000"/>
                <w:lang w:eastAsia="id-ID"/>
              </w:rPr>
            </w:pPr>
            <w:r w:rsidRPr="00357FBD">
              <w:rPr>
                <w:rFonts w:ascii="Arial" w:hAnsi="Arial" w:cs="Arial"/>
                <w:color w:val="000000"/>
                <w:lang w:eastAsia="id-ID"/>
              </w:rPr>
              <w:t>K1</w:t>
            </w:r>
          </w:p>
        </w:tc>
        <w:tc>
          <w:tcPr>
            <w:tcW w:w="850" w:type="dxa"/>
            <w:tcBorders>
              <w:left w:val="single" w:sz="4" w:space="0" w:color="auto"/>
              <w:bottom w:val="double" w:sz="4" w:space="0" w:color="000000"/>
              <w:right w:val="single" w:sz="4" w:space="0" w:color="auto"/>
            </w:tcBorders>
            <w:shd w:val="clear" w:color="auto" w:fill="auto"/>
            <w:noWrap/>
            <w:vAlign w:val="center"/>
            <w:hideMark/>
          </w:tcPr>
          <w:p w:rsidR="001A71C3" w:rsidRPr="00357FBD" w:rsidRDefault="001A71C3" w:rsidP="00B47552">
            <w:pPr>
              <w:contextualSpacing/>
              <w:jc w:val="center"/>
              <w:rPr>
                <w:rFonts w:ascii="Arial" w:eastAsia="BatangChe" w:hAnsi="Arial" w:cs="Arial"/>
                <w:color w:val="000000"/>
              </w:rPr>
            </w:pPr>
            <w:r w:rsidRPr="00357FBD">
              <w:rPr>
                <w:rFonts w:ascii="Arial" w:eastAsia="BatangChe" w:hAnsi="Arial" w:cs="Arial"/>
                <w:color w:val="000000"/>
              </w:rPr>
              <w:t>K2</w:t>
            </w:r>
          </w:p>
        </w:tc>
      </w:tr>
    </w:tbl>
    <w:p w:rsidR="001A71C3" w:rsidRDefault="001A71C3" w:rsidP="001A71C3">
      <w:pPr>
        <w:spacing w:beforeLines="100" w:before="240" w:afterLines="50" w:after="120"/>
        <w:ind w:firstLine="360"/>
        <w:jc w:val="both"/>
        <w:rPr>
          <w:rFonts w:ascii="Arial" w:hAnsi="Arial" w:cs="Arial"/>
        </w:rPr>
      </w:pPr>
      <w:r w:rsidRPr="00357FBD">
        <w:rPr>
          <w:rFonts w:ascii="Arial" w:hAnsi="Arial" w:cs="Arial"/>
        </w:rPr>
        <w:t>In Table 4, there are 10 regencies with different classification results between Klassen and J48. The changes of Klassen classification position occurred in 10 regencies, namely: Boven Digul Regency is categorized into K2 in Klassen but K4 in J48; Jayapura Regency from K1 to K2; Kerom Regency from K4 to K2; Lanyjaya Regency from K4 to K3; Memberamo Tengah Regency from K4 to K3; Ndunga Regency from K3 to K2; Paniai Regency from K1 to K4; Puncak Jaya Regency from K3 to K4; Waropen Regency from K3 to K4; and Kota Jayapura from K1 to K2. Therefore, based on the results of J48 classification, there are 10 regencies which are categorized into the mainstay economic region with the level of advanced but depressed development (K2) as seen in Table 5.</w:t>
      </w:r>
    </w:p>
    <w:p w:rsidR="00D61780" w:rsidRDefault="00D61780" w:rsidP="001A71C3">
      <w:pPr>
        <w:spacing w:beforeLines="100" w:before="240" w:afterLines="50" w:after="120"/>
        <w:ind w:firstLine="360"/>
        <w:jc w:val="both"/>
        <w:rPr>
          <w:rFonts w:ascii="Arial" w:hAnsi="Arial" w:cs="Arial"/>
        </w:rPr>
      </w:pPr>
    </w:p>
    <w:p w:rsidR="003C6916" w:rsidRDefault="003C6916" w:rsidP="001A71C3">
      <w:pPr>
        <w:jc w:val="center"/>
        <w:rPr>
          <w:rFonts w:ascii="Arial" w:hAnsi="Arial" w:cs="Arial"/>
        </w:rPr>
      </w:pPr>
    </w:p>
    <w:p w:rsidR="00A1689B" w:rsidRDefault="00A1689B" w:rsidP="001A71C3">
      <w:pPr>
        <w:jc w:val="center"/>
        <w:rPr>
          <w:rFonts w:ascii="Arial" w:hAnsi="Arial" w:cs="Arial"/>
        </w:rPr>
      </w:pPr>
    </w:p>
    <w:p w:rsidR="001A71C3" w:rsidRPr="00357FBD" w:rsidRDefault="001A71C3" w:rsidP="001A71C3">
      <w:pPr>
        <w:jc w:val="center"/>
        <w:rPr>
          <w:rFonts w:ascii="Arial" w:hAnsi="Arial" w:cs="Arial"/>
        </w:rPr>
      </w:pPr>
      <w:r w:rsidRPr="00357FBD">
        <w:rPr>
          <w:rFonts w:ascii="Arial" w:hAnsi="Arial" w:cs="Arial"/>
        </w:rPr>
        <w:t xml:space="preserve">Table 5. Regencies with Mainstay </w:t>
      </w:r>
    </w:p>
    <w:p w:rsidR="001A71C3" w:rsidRPr="00357FBD" w:rsidRDefault="001A71C3" w:rsidP="001A71C3">
      <w:pPr>
        <w:jc w:val="center"/>
        <w:rPr>
          <w:rFonts w:ascii="Arial" w:hAnsi="Arial" w:cs="Arial"/>
        </w:rPr>
      </w:pPr>
      <w:r w:rsidRPr="00357FBD">
        <w:rPr>
          <w:rFonts w:ascii="Arial" w:hAnsi="Arial" w:cs="Arial"/>
        </w:rPr>
        <w:t>Economic Region</w:t>
      </w:r>
    </w:p>
    <w:tbl>
      <w:tblPr>
        <w:tblW w:w="5102" w:type="dxa"/>
        <w:jc w:val="center"/>
        <w:tblInd w:w="93" w:type="dxa"/>
        <w:tblLook w:val="04A0" w:firstRow="1" w:lastRow="0" w:firstColumn="1" w:lastColumn="0" w:noHBand="0" w:noVBand="1"/>
      </w:tblPr>
      <w:tblGrid>
        <w:gridCol w:w="483"/>
        <w:gridCol w:w="1429"/>
        <w:gridCol w:w="1500"/>
        <w:gridCol w:w="984"/>
        <w:gridCol w:w="706"/>
      </w:tblGrid>
      <w:tr w:rsidR="001A71C3" w:rsidRPr="00357FBD" w:rsidTr="00D61780">
        <w:trPr>
          <w:trHeight w:val="355"/>
          <w:jc w:val="center"/>
        </w:trPr>
        <w:tc>
          <w:tcPr>
            <w:tcW w:w="483" w:type="dxa"/>
            <w:tcBorders>
              <w:top w:val="single" w:sz="8" w:space="0" w:color="000000"/>
              <w:left w:val="single" w:sz="4" w:space="0" w:color="auto"/>
              <w:bottom w:val="double" w:sz="6" w:space="0" w:color="000000"/>
              <w:right w:val="single" w:sz="4" w:space="0" w:color="auto"/>
            </w:tcBorders>
            <w:shd w:val="clear" w:color="auto" w:fill="8064A2" w:themeFill="accent4"/>
            <w:noWrap/>
            <w:vAlign w:val="bottom"/>
            <w:hideMark/>
          </w:tcPr>
          <w:p w:rsidR="001A71C3" w:rsidRPr="00357FBD" w:rsidRDefault="001A71C3" w:rsidP="00B47552">
            <w:pPr>
              <w:jc w:val="center"/>
              <w:rPr>
                <w:rFonts w:ascii="Arial" w:hAnsi="Arial" w:cs="Arial"/>
                <w:b/>
                <w:bCs/>
                <w:color w:val="000000"/>
              </w:rPr>
            </w:pPr>
            <w:r w:rsidRPr="00357FBD">
              <w:rPr>
                <w:rFonts w:ascii="Arial" w:hAnsi="Arial" w:cs="Arial"/>
                <w:b/>
                <w:bCs/>
                <w:color w:val="000000"/>
              </w:rPr>
              <w:t>No</w:t>
            </w:r>
          </w:p>
        </w:tc>
        <w:tc>
          <w:tcPr>
            <w:tcW w:w="1429" w:type="dxa"/>
            <w:tcBorders>
              <w:top w:val="single" w:sz="8" w:space="0" w:color="000000"/>
              <w:left w:val="single" w:sz="4" w:space="0" w:color="auto"/>
              <w:bottom w:val="double" w:sz="6" w:space="0" w:color="000000"/>
              <w:right w:val="single" w:sz="4" w:space="0" w:color="auto"/>
            </w:tcBorders>
            <w:shd w:val="clear" w:color="auto" w:fill="8064A2" w:themeFill="accent4"/>
            <w:noWrap/>
            <w:vAlign w:val="bottom"/>
            <w:hideMark/>
          </w:tcPr>
          <w:p w:rsidR="001A71C3" w:rsidRPr="00357FBD" w:rsidRDefault="001A71C3" w:rsidP="00B47552">
            <w:pPr>
              <w:jc w:val="center"/>
              <w:rPr>
                <w:rFonts w:ascii="Arial" w:hAnsi="Arial" w:cs="Arial"/>
                <w:b/>
                <w:bCs/>
                <w:color w:val="000000"/>
              </w:rPr>
            </w:pPr>
            <w:r w:rsidRPr="00357FBD">
              <w:rPr>
                <w:rFonts w:ascii="Arial" w:hAnsi="Arial" w:cs="Arial"/>
                <w:b/>
                <w:bCs/>
                <w:color w:val="000000"/>
              </w:rPr>
              <w:t>District</w:t>
            </w:r>
          </w:p>
        </w:tc>
        <w:tc>
          <w:tcPr>
            <w:tcW w:w="1500" w:type="dxa"/>
            <w:tcBorders>
              <w:top w:val="single" w:sz="8" w:space="0" w:color="000000"/>
              <w:left w:val="single" w:sz="4" w:space="0" w:color="auto"/>
              <w:bottom w:val="double" w:sz="6" w:space="0" w:color="000000"/>
              <w:right w:val="single" w:sz="4" w:space="0" w:color="auto"/>
            </w:tcBorders>
            <w:shd w:val="clear" w:color="auto" w:fill="8064A2" w:themeFill="accent4"/>
            <w:noWrap/>
            <w:vAlign w:val="bottom"/>
            <w:hideMark/>
          </w:tcPr>
          <w:p w:rsidR="001A71C3" w:rsidRPr="00357FBD" w:rsidRDefault="001A71C3" w:rsidP="00B47552">
            <w:pPr>
              <w:jc w:val="center"/>
              <w:rPr>
                <w:rFonts w:ascii="Arial" w:hAnsi="Arial" w:cs="Arial"/>
                <w:b/>
                <w:bCs/>
                <w:color w:val="000000"/>
              </w:rPr>
            </w:pPr>
            <w:r w:rsidRPr="00357FBD">
              <w:rPr>
                <w:rFonts w:ascii="Arial" w:hAnsi="Arial" w:cs="Arial"/>
                <w:b/>
              </w:rPr>
              <w:t>GRDP</w:t>
            </w:r>
            <w:r w:rsidRPr="00357FBD">
              <w:rPr>
                <w:rFonts w:ascii="Arial" w:hAnsi="Arial" w:cs="Arial"/>
                <w:b/>
                <w:bCs/>
                <w:color w:val="000000"/>
                <w:lang w:eastAsia="id-ID"/>
              </w:rPr>
              <w:t xml:space="preserve"> 2015</w:t>
            </w:r>
          </w:p>
        </w:tc>
        <w:tc>
          <w:tcPr>
            <w:tcW w:w="984" w:type="dxa"/>
            <w:tcBorders>
              <w:top w:val="single" w:sz="8" w:space="0" w:color="000000"/>
              <w:left w:val="single" w:sz="4" w:space="0" w:color="auto"/>
              <w:bottom w:val="double" w:sz="6" w:space="0" w:color="000000"/>
              <w:right w:val="single" w:sz="4" w:space="0" w:color="auto"/>
            </w:tcBorders>
            <w:shd w:val="clear" w:color="auto" w:fill="8064A2" w:themeFill="accent4"/>
            <w:vAlign w:val="bottom"/>
            <w:hideMark/>
          </w:tcPr>
          <w:p w:rsidR="001A71C3" w:rsidRPr="00357FBD" w:rsidRDefault="001A71C3" w:rsidP="00B47552">
            <w:pPr>
              <w:jc w:val="center"/>
              <w:rPr>
                <w:rFonts w:ascii="Arial" w:hAnsi="Arial" w:cs="Arial"/>
                <w:b/>
                <w:bCs/>
                <w:color w:val="000000"/>
              </w:rPr>
            </w:pPr>
            <w:r w:rsidRPr="00357FBD">
              <w:rPr>
                <w:rFonts w:ascii="Arial" w:hAnsi="Arial" w:cs="Arial"/>
                <w:b/>
                <w:bCs/>
                <w:color w:val="000000"/>
              </w:rPr>
              <w:t>Klassen</w:t>
            </w:r>
          </w:p>
        </w:tc>
        <w:tc>
          <w:tcPr>
            <w:tcW w:w="706" w:type="dxa"/>
            <w:tcBorders>
              <w:top w:val="single" w:sz="8" w:space="0" w:color="000000"/>
              <w:left w:val="single" w:sz="4" w:space="0" w:color="auto"/>
              <w:bottom w:val="double" w:sz="6" w:space="0" w:color="000000"/>
              <w:right w:val="single" w:sz="4" w:space="0" w:color="auto"/>
            </w:tcBorders>
            <w:shd w:val="clear" w:color="auto" w:fill="8064A2" w:themeFill="accent4"/>
            <w:noWrap/>
            <w:vAlign w:val="bottom"/>
            <w:hideMark/>
          </w:tcPr>
          <w:p w:rsidR="001A71C3" w:rsidRPr="00357FBD" w:rsidRDefault="001A71C3" w:rsidP="00B47552">
            <w:pPr>
              <w:jc w:val="center"/>
              <w:rPr>
                <w:rFonts w:ascii="Arial" w:hAnsi="Arial" w:cs="Arial"/>
                <w:b/>
                <w:bCs/>
                <w:color w:val="000000"/>
              </w:rPr>
            </w:pPr>
            <w:r w:rsidRPr="00357FBD">
              <w:rPr>
                <w:rFonts w:ascii="Arial" w:hAnsi="Arial" w:cs="Arial"/>
                <w:b/>
                <w:bCs/>
                <w:color w:val="000000"/>
              </w:rPr>
              <w:t>J48</w:t>
            </w:r>
          </w:p>
        </w:tc>
      </w:tr>
      <w:tr w:rsidR="001A71C3" w:rsidRPr="00357FBD" w:rsidTr="00B47552">
        <w:trPr>
          <w:trHeight w:val="215"/>
          <w:jc w:val="center"/>
        </w:trPr>
        <w:tc>
          <w:tcPr>
            <w:tcW w:w="483" w:type="dxa"/>
            <w:tcBorders>
              <w:top w:val="nil"/>
              <w:left w:val="single" w:sz="4" w:space="0" w:color="auto"/>
              <w:bottom w:val="single" w:sz="8" w:space="0" w:color="000000"/>
              <w:right w:val="single" w:sz="4" w:space="0" w:color="auto"/>
            </w:tcBorders>
            <w:shd w:val="clear" w:color="000000" w:fill="FFFFFF"/>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1</w:t>
            </w:r>
          </w:p>
        </w:tc>
        <w:tc>
          <w:tcPr>
            <w:tcW w:w="1429" w:type="dxa"/>
            <w:tcBorders>
              <w:top w:val="nil"/>
              <w:left w:val="single" w:sz="4" w:space="0" w:color="auto"/>
              <w:bottom w:val="single" w:sz="8" w:space="0" w:color="000000"/>
              <w:right w:val="single" w:sz="4" w:space="0" w:color="auto"/>
            </w:tcBorders>
            <w:shd w:val="clear" w:color="000000" w:fill="FFFFFF"/>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Biak</w:t>
            </w:r>
          </w:p>
        </w:tc>
        <w:tc>
          <w:tcPr>
            <w:tcW w:w="1500"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2.254.816,92</w:t>
            </w:r>
          </w:p>
        </w:tc>
        <w:tc>
          <w:tcPr>
            <w:tcW w:w="984" w:type="dxa"/>
            <w:tcBorders>
              <w:top w:val="nil"/>
              <w:left w:val="single" w:sz="4" w:space="0" w:color="auto"/>
              <w:bottom w:val="single" w:sz="8"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c>
          <w:tcPr>
            <w:tcW w:w="706"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r w:rsidR="001A71C3" w:rsidRPr="00357FBD" w:rsidTr="00B47552">
        <w:trPr>
          <w:trHeight w:val="257"/>
          <w:jc w:val="center"/>
        </w:trPr>
        <w:tc>
          <w:tcPr>
            <w:tcW w:w="483"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2</w:t>
            </w:r>
          </w:p>
        </w:tc>
        <w:tc>
          <w:tcPr>
            <w:tcW w:w="1429"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Kab Jayapura</w:t>
            </w:r>
          </w:p>
        </w:tc>
        <w:tc>
          <w:tcPr>
            <w:tcW w:w="1500"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5.557.746,95</w:t>
            </w:r>
          </w:p>
        </w:tc>
        <w:tc>
          <w:tcPr>
            <w:tcW w:w="984" w:type="dxa"/>
            <w:tcBorders>
              <w:top w:val="nil"/>
              <w:left w:val="single" w:sz="4" w:space="0" w:color="auto"/>
              <w:bottom w:val="single" w:sz="8"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K1</w:t>
            </w:r>
          </w:p>
        </w:tc>
        <w:tc>
          <w:tcPr>
            <w:tcW w:w="706"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r w:rsidR="001A71C3" w:rsidRPr="00357FBD" w:rsidTr="00B47552">
        <w:trPr>
          <w:trHeight w:val="261"/>
          <w:jc w:val="center"/>
        </w:trPr>
        <w:tc>
          <w:tcPr>
            <w:tcW w:w="483" w:type="dxa"/>
            <w:tcBorders>
              <w:top w:val="nil"/>
              <w:left w:val="single" w:sz="4" w:space="0" w:color="auto"/>
              <w:bottom w:val="single" w:sz="8" w:space="0" w:color="000000"/>
              <w:right w:val="single" w:sz="4" w:space="0" w:color="auto"/>
            </w:tcBorders>
            <w:shd w:val="clear" w:color="000000" w:fill="FFFFFF"/>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3</w:t>
            </w:r>
          </w:p>
        </w:tc>
        <w:tc>
          <w:tcPr>
            <w:tcW w:w="1429"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Jayawijaya</w:t>
            </w:r>
          </w:p>
        </w:tc>
        <w:tc>
          <w:tcPr>
            <w:tcW w:w="1500"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2.578.258,76</w:t>
            </w:r>
          </w:p>
        </w:tc>
        <w:tc>
          <w:tcPr>
            <w:tcW w:w="984" w:type="dxa"/>
            <w:tcBorders>
              <w:top w:val="nil"/>
              <w:left w:val="single" w:sz="4" w:space="0" w:color="auto"/>
              <w:bottom w:val="single" w:sz="8"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c>
          <w:tcPr>
            <w:tcW w:w="706"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r w:rsidR="001A71C3" w:rsidRPr="00357FBD" w:rsidTr="00B47552">
        <w:trPr>
          <w:trHeight w:val="265"/>
          <w:jc w:val="center"/>
        </w:trPr>
        <w:tc>
          <w:tcPr>
            <w:tcW w:w="483"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4</w:t>
            </w:r>
          </w:p>
        </w:tc>
        <w:tc>
          <w:tcPr>
            <w:tcW w:w="1429"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Kerom</w:t>
            </w:r>
          </w:p>
        </w:tc>
        <w:tc>
          <w:tcPr>
            <w:tcW w:w="1500"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1.308.614,70</w:t>
            </w:r>
          </w:p>
        </w:tc>
        <w:tc>
          <w:tcPr>
            <w:tcW w:w="984" w:type="dxa"/>
            <w:tcBorders>
              <w:top w:val="nil"/>
              <w:left w:val="single" w:sz="4" w:space="0" w:color="auto"/>
              <w:bottom w:val="single" w:sz="8"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K4</w:t>
            </w:r>
          </w:p>
        </w:tc>
        <w:tc>
          <w:tcPr>
            <w:tcW w:w="706"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r w:rsidR="001A71C3" w:rsidRPr="00357FBD" w:rsidTr="00B47552">
        <w:trPr>
          <w:trHeight w:val="269"/>
          <w:jc w:val="center"/>
        </w:trPr>
        <w:tc>
          <w:tcPr>
            <w:tcW w:w="483" w:type="dxa"/>
            <w:tcBorders>
              <w:top w:val="nil"/>
              <w:left w:val="single" w:sz="4" w:space="0" w:color="auto"/>
              <w:bottom w:val="single" w:sz="8" w:space="0" w:color="000000"/>
              <w:right w:val="single" w:sz="4" w:space="0" w:color="auto"/>
            </w:tcBorders>
            <w:shd w:val="clear" w:color="000000" w:fill="FFFFFF"/>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5</w:t>
            </w:r>
          </w:p>
        </w:tc>
        <w:tc>
          <w:tcPr>
            <w:tcW w:w="1429"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Merauke</w:t>
            </w:r>
          </w:p>
        </w:tc>
        <w:tc>
          <w:tcPr>
            <w:tcW w:w="1500"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5.586.617,68</w:t>
            </w:r>
          </w:p>
        </w:tc>
        <w:tc>
          <w:tcPr>
            <w:tcW w:w="984" w:type="dxa"/>
            <w:tcBorders>
              <w:top w:val="nil"/>
              <w:left w:val="single" w:sz="4" w:space="0" w:color="auto"/>
              <w:bottom w:val="single" w:sz="8"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c>
          <w:tcPr>
            <w:tcW w:w="706"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r w:rsidR="001A71C3" w:rsidRPr="00357FBD" w:rsidTr="00B47552">
        <w:trPr>
          <w:trHeight w:val="259"/>
          <w:jc w:val="center"/>
        </w:trPr>
        <w:tc>
          <w:tcPr>
            <w:tcW w:w="483"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6</w:t>
            </w:r>
          </w:p>
        </w:tc>
        <w:tc>
          <w:tcPr>
            <w:tcW w:w="1429"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Mimika</w:t>
            </w:r>
          </w:p>
        </w:tc>
        <w:tc>
          <w:tcPr>
            <w:tcW w:w="1500"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54.326.848,32</w:t>
            </w:r>
          </w:p>
        </w:tc>
        <w:tc>
          <w:tcPr>
            <w:tcW w:w="984" w:type="dxa"/>
            <w:tcBorders>
              <w:top w:val="nil"/>
              <w:left w:val="single" w:sz="4" w:space="0" w:color="auto"/>
              <w:bottom w:val="single" w:sz="8"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c>
          <w:tcPr>
            <w:tcW w:w="706"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r w:rsidR="001A71C3" w:rsidRPr="00357FBD" w:rsidTr="00B47552">
        <w:trPr>
          <w:trHeight w:val="263"/>
          <w:jc w:val="center"/>
        </w:trPr>
        <w:tc>
          <w:tcPr>
            <w:tcW w:w="483" w:type="dxa"/>
            <w:tcBorders>
              <w:top w:val="nil"/>
              <w:left w:val="single" w:sz="4" w:space="0" w:color="auto"/>
              <w:bottom w:val="single" w:sz="8" w:space="0" w:color="000000"/>
              <w:right w:val="single" w:sz="4" w:space="0" w:color="auto"/>
            </w:tcBorders>
            <w:shd w:val="clear" w:color="000000" w:fill="FFFFFF"/>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7</w:t>
            </w:r>
          </w:p>
        </w:tc>
        <w:tc>
          <w:tcPr>
            <w:tcW w:w="1429"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Nabire</w:t>
            </w:r>
          </w:p>
        </w:tc>
        <w:tc>
          <w:tcPr>
            <w:tcW w:w="1500"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4.421.359,00</w:t>
            </w:r>
          </w:p>
        </w:tc>
        <w:tc>
          <w:tcPr>
            <w:tcW w:w="984" w:type="dxa"/>
            <w:tcBorders>
              <w:top w:val="nil"/>
              <w:left w:val="single" w:sz="4" w:space="0" w:color="auto"/>
              <w:bottom w:val="single" w:sz="8"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c>
          <w:tcPr>
            <w:tcW w:w="706"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r w:rsidR="001A71C3" w:rsidRPr="00357FBD" w:rsidTr="00B47552">
        <w:trPr>
          <w:trHeight w:val="125"/>
          <w:jc w:val="center"/>
        </w:trPr>
        <w:tc>
          <w:tcPr>
            <w:tcW w:w="483"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8</w:t>
            </w:r>
          </w:p>
        </w:tc>
        <w:tc>
          <w:tcPr>
            <w:tcW w:w="1429"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Ndunga</w:t>
            </w:r>
          </w:p>
        </w:tc>
        <w:tc>
          <w:tcPr>
            <w:tcW w:w="1500"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407.087,35</w:t>
            </w:r>
          </w:p>
        </w:tc>
        <w:tc>
          <w:tcPr>
            <w:tcW w:w="984" w:type="dxa"/>
            <w:tcBorders>
              <w:top w:val="nil"/>
              <w:left w:val="single" w:sz="4" w:space="0" w:color="auto"/>
              <w:bottom w:val="single" w:sz="8"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K3</w:t>
            </w:r>
          </w:p>
        </w:tc>
        <w:tc>
          <w:tcPr>
            <w:tcW w:w="706"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r w:rsidR="001A71C3" w:rsidRPr="00357FBD" w:rsidTr="00B47552">
        <w:trPr>
          <w:trHeight w:val="185"/>
          <w:jc w:val="center"/>
        </w:trPr>
        <w:tc>
          <w:tcPr>
            <w:tcW w:w="483" w:type="dxa"/>
            <w:tcBorders>
              <w:top w:val="nil"/>
              <w:left w:val="single" w:sz="4" w:space="0" w:color="auto"/>
              <w:bottom w:val="single" w:sz="8" w:space="0" w:color="000000"/>
              <w:right w:val="single" w:sz="4" w:space="0" w:color="auto"/>
            </w:tcBorders>
            <w:shd w:val="clear" w:color="000000" w:fill="FFFFFF"/>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9</w:t>
            </w:r>
          </w:p>
        </w:tc>
        <w:tc>
          <w:tcPr>
            <w:tcW w:w="1429"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Yapen</w:t>
            </w:r>
          </w:p>
        </w:tc>
        <w:tc>
          <w:tcPr>
            <w:tcW w:w="1500"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1.708.539,10</w:t>
            </w:r>
          </w:p>
        </w:tc>
        <w:tc>
          <w:tcPr>
            <w:tcW w:w="984" w:type="dxa"/>
            <w:tcBorders>
              <w:top w:val="nil"/>
              <w:left w:val="single" w:sz="4" w:space="0" w:color="auto"/>
              <w:bottom w:val="single" w:sz="8"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c>
          <w:tcPr>
            <w:tcW w:w="706" w:type="dxa"/>
            <w:tcBorders>
              <w:top w:val="nil"/>
              <w:left w:val="single" w:sz="4" w:space="0" w:color="auto"/>
              <w:bottom w:val="single" w:sz="8"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r w:rsidR="001A71C3" w:rsidRPr="00357FBD" w:rsidTr="00B47552">
        <w:trPr>
          <w:trHeight w:val="103"/>
          <w:jc w:val="center"/>
        </w:trPr>
        <w:tc>
          <w:tcPr>
            <w:tcW w:w="483" w:type="dxa"/>
            <w:tcBorders>
              <w:top w:val="nil"/>
              <w:left w:val="single" w:sz="4" w:space="0" w:color="auto"/>
              <w:bottom w:val="double" w:sz="6"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10</w:t>
            </w:r>
          </w:p>
        </w:tc>
        <w:tc>
          <w:tcPr>
            <w:tcW w:w="1429" w:type="dxa"/>
            <w:tcBorders>
              <w:top w:val="nil"/>
              <w:left w:val="single" w:sz="4" w:space="0" w:color="auto"/>
              <w:bottom w:val="double" w:sz="6" w:space="0" w:color="000000"/>
              <w:right w:val="single" w:sz="4" w:space="0" w:color="auto"/>
            </w:tcBorders>
            <w:shd w:val="clear" w:color="auto" w:fill="auto"/>
            <w:noWrap/>
            <w:vAlign w:val="center"/>
            <w:hideMark/>
          </w:tcPr>
          <w:p w:rsidR="001A71C3" w:rsidRPr="00357FBD" w:rsidRDefault="001A71C3" w:rsidP="00B47552">
            <w:pPr>
              <w:rPr>
                <w:rFonts w:ascii="Arial" w:hAnsi="Arial" w:cs="Arial"/>
                <w:color w:val="000000"/>
              </w:rPr>
            </w:pPr>
            <w:r w:rsidRPr="00357FBD">
              <w:rPr>
                <w:rFonts w:ascii="Arial" w:hAnsi="Arial" w:cs="Arial"/>
                <w:color w:val="000000"/>
              </w:rPr>
              <w:t>Kota Jayapura</w:t>
            </w:r>
          </w:p>
        </w:tc>
        <w:tc>
          <w:tcPr>
            <w:tcW w:w="1500" w:type="dxa"/>
            <w:tcBorders>
              <w:top w:val="nil"/>
              <w:left w:val="single" w:sz="4" w:space="0" w:color="auto"/>
              <w:bottom w:val="double" w:sz="6"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10.251.863,96</w:t>
            </w:r>
          </w:p>
        </w:tc>
        <w:tc>
          <w:tcPr>
            <w:tcW w:w="984" w:type="dxa"/>
            <w:tcBorders>
              <w:top w:val="nil"/>
              <w:left w:val="single" w:sz="4" w:space="0" w:color="auto"/>
              <w:bottom w:val="double" w:sz="6" w:space="0" w:color="000000"/>
              <w:right w:val="single" w:sz="4" w:space="0" w:color="auto"/>
            </w:tcBorders>
            <w:shd w:val="clear" w:color="auto" w:fill="auto"/>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K1</w:t>
            </w:r>
          </w:p>
        </w:tc>
        <w:tc>
          <w:tcPr>
            <w:tcW w:w="706" w:type="dxa"/>
            <w:tcBorders>
              <w:top w:val="nil"/>
              <w:left w:val="single" w:sz="4" w:space="0" w:color="auto"/>
              <w:bottom w:val="double" w:sz="6" w:space="0" w:color="000000"/>
              <w:right w:val="single" w:sz="4" w:space="0" w:color="auto"/>
            </w:tcBorders>
            <w:shd w:val="clear" w:color="auto" w:fill="auto"/>
            <w:noWrap/>
            <w:vAlign w:val="center"/>
            <w:hideMark/>
          </w:tcPr>
          <w:p w:rsidR="001A71C3" w:rsidRPr="00357FBD" w:rsidRDefault="001A71C3" w:rsidP="00B47552">
            <w:pPr>
              <w:jc w:val="center"/>
              <w:rPr>
                <w:rFonts w:ascii="Arial" w:hAnsi="Arial" w:cs="Arial"/>
                <w:color w:val="000000"/>
              </w:rPr>
            </w:pPr>
            <w:r w:rsidRPr="00357FBD">
              <w:rPr>
                <w:rFonts w:ascii="Arial" w:hAnsi="Arial" w:cs="Arial"/>
                <w:color w:val="000000"/>
              </w:rPr>
              <w:t>K2</w:t>
            </w:r>
          </w:p>
        </w:tc>
      </w:tr>
    </w:tbl>
    <w:p w:rsidR="001A71C3" w:rsidRPr="00357FBD" w:rsidRDefault="001A71C3" w:rsidP="001A71C3">
      <w:pPr>
        <w:spacing w:line="259" w:lineRule="auto"/>
        <w:ind w:firstLine="720"/>
        <w:jc w:val="both"/>
        <w:rPr>
          <w:rFonts w:ascii="Arial" w:hAnsi="Arial" w:cs="Arial"/>
        </w:rPr>
      </w:pPr>
    </w:p>
    <w:p w:rsidR="001A71C3" w:rsidRPr="00357FBD" w:rsidRDefault="001A71C3" w:rsidP="001A71C3">
      <w:pPr>
        <w:spacing w:line="259" w:lineRule="auto"/>
        <w:ind w:firstLine="720"/>
        <w:jc w:val="both"/>
        <w:rPr>
          <w:rFonts w:ascii="Arial" w:hAnsi="Arial" w:cs="Arial"/>
        </w:rPr>
      </w:pPr>
      <w:r w:rsidRPr="00357FBD">
        <w:rPr>
          <w:rFonts w:ascii="Arial" w:hAnsi="Arial" w:cs="Arial"/>
        </w:rPr>
        <w:t>Table 5 shows ten regencies, namely Biak, Jayapura, Jayawijaya, Kerom, Merauke, Mimika, Nabire, Ndunga, Yapen and Jayapura Municipality.</w:t>
      </w:r>
    </w:p>
    <w:p w:rsidR="001A71C3" w:rsidRPr="00357FBD" w:rsidRDefault="001A71C3" w:rsidP="001A71C3">
      <w:pPr>
        <w:spacing w:line="259" w:lineRule="auto"/>
        <w:ind w:firstLine="720"/>
        <w:jc w:val="both"/>
        <w:rPr>
          <w:rFonts w:ascii="Arial" w:hAnsi="Arial" w:cs="Arial"/>
        </w:rPr>
      </w:pPr>
    </w:p>
    <w:p w:rsidR="001A71C3" w:rsidRPr="00357FBD" w:rsidRDefault="001A71C3" w:rsidP="001A71C3">
      <w:pPr>
        <w:pStyle w:val="ListParagraph"/>
        <w:numPr>
          <w:ilvl w:val="0"/>
          <w:numId w:val="15"/>
        </w:numPr>
        <w:spacing w:beforeLines="100" w:before="240" w:afterLines="50" w:after="120" w:line="240" w:lineRule="auto"/>
        <w:ind w:left="360"/>
        <w:contextualSpacing w:val="0"/>
        <w:jc w:val="both"/>
        <w:rPr>
          <w:rFonts w:ascii="Arial" w:hAnsi="Arial" w:cs="Arial"/>
          <w:b/>
          <w:sz w:val="20"/>
          <w:szCs w:val="20"/>
        </w:rPr>
      </w:pPr>
      <w:r w:rsidRPr="00357FBD">
        <w:rPr>
          <w:rFonts w:ascii="Arial" w:hAnsi="Arial" w:cs="Arial"/>
          <w:b/>
          <w:bCs/>
          <w:sz w:val="20"/>
          <w:szCs w:val="20"/>
        </w:rPr>
        <w:t xml:space="preserve">Conclusion </w:t>
      </w:r>
    </w:p>
    <w:p w:rsidR="001A71C3" w:rsidRPr="00357FBD" w:rsidRDefault="001A71C3" w:rsidP="001A71C3">
      <w:pPr>
        <w:spacing w:line="259" w:lineRule="auto"/>
        <w:ind w:firstLine="330"/>
        <w:jc w:val="both"/>
        <w:rPr>
          <w:rFonts w:ascii="Arial" w:hAnsi="Arial" w:cs="Arial"/>
        </w:rPr>
      </w:pPr>
      <w:r w:rsidRPr="00357FBD">
        <w:rPr>
          <w:rFonts w:ascii="Arial" w:hAnsi="Arial" w:cs="Arial"/>
        </w:rPr>
        <w:t xml:space="preserve">Based on the results of the study, decision tree techniques can be used as an alternative approach to determine the mainstay economic region. The results show that both Klassen and J48 decision trees indicated that Jayapura Municipality and Jayapura Regency are still the mainstay economic regions, although based on regional classification results, both are categorized into different class when they are classified with Klassen and J48. In addition, the accuracy level of 2015 GRDP sector data testing to the decision tree J48 shows that the accuracy is 65.51%. The results of Klassen show that there are three regencies that are categorized into the mainstay economic region. Meanwhile, the results of decision tree J48 show that there are 10 regencies that are categorized into the mainstay economic region. Therefore, decision tree technique, especially J48 algorithm, can be used as an alternative in classifying regions into certain mainstay regions. As a result, it can be used as policy making materials for local governments to determine the mainstay economic region. </w:t>
      </w:r>
    </w:p>
    <w:p w:rsidR="001A71C3" w:rsidRDefault="001A71C3" w:rsidP="002F7316">
      <w:pPr>
        <w:ind w:left="360"/>
        <w:rPr>
          <w:rFonts w:ascii="Arial" w:hAnsi="Arial" w:cs="Arial"/>
          <w:b/>
          <w:bCs/>
          <w:sz w:val="16"/>
        </w:rPr>
      </w:pPr>
    </w:p>
    <w:p w:rsidR="001A71C3" w:rsidRPr="00357FBD" w:rsidRDefault="001A71C3" w:rsidP="00357FBD">
      <w:pPr>
        <w:pStyle w:val="ReferenceHeading"/>
        <w:adjustRightInd w:val="0"/>
        <w:snapToGrid w:val="0"/>
        <w:spacing w:beforeLines="100" w:before="240" w:afterLines="50" w:after="120"/>
        <w:ind w:left="211" w:hanging="211"/>
        <w:outlineLvl w:val="0"/>
        <w:rPr>
          <w:rFonts w:ascii="Arial" w:eastAsia="SimSun" w:hAnsi="Arial" w:cs="Arial"/>
          <w:sz w:val="18"/>
          <w:szCs w:val="18"/>
          <w:lang w:eastAsia="zh-CN"/>
        </w:rPr>
      </w:pPr>
      <w:r w:rsidRPr="00357FBD">
        <w:rPr>
          <w:rFonts w:ascii="Arial" w:hAnsi="Arial" w:cs="Arial"/>
          <w:sz w:val="18"/>
          <w:szCs w:val="18"/>
        </w:rPr>
        <w:t>References</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Karsinah, Putri P.I., Rahayu K.N, Panjiputri A.F.  The Profile of Pekalongan as a Center of Economic Growth at Tangkallangka Strategic Areas. </w:t>
      </w:r>
      <w:r w:rsidRPr="00357FBD">
        <w:rPr>
          <w:rFonts w:ascii="Arial" w:hAnsi="Arial" w:cs="Arial"/>
          <w:i/>
          <w:sz w:val="18"/>
          <w:szCs w:val="18"/>
        </w:rPr>
        <w:t>International Journal of Economics and Financial Issues</w:t>
      </w:r>
      <w:r w:rsidRPr="00357FBD">
        <w:rPr>
          <w:rFonts w:ascii="Arial" w:hAnsi="Arial" w:cs="Arial"/>
          <w:sz w:val="18"/>
          <w:szCs w:val="18"/>
        </w:rPr>
        <w:t>, 2016; Vol 6, Special Issue (S6).</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Munandar T.A., Azhari, Musdholifah A., Arsyad L. </w:t>
      </w:r>
      <w:r w:rsidRPr="00357FBD">
        <w:rPr>
          <w:rFonts w:ascii="Arial" w:hAnsi="Arial" w:cs="Arial"/>
          <w:i/>
          <w:sz w:val="18"/>
          <w:szCs w:val="18"/>
        </w:rPr>
        <w:t>Hierarchical Regional Disparities and Potential Sector Identification Using Modified Agglomerative Clustering</w:t>
      </w:r>
      <w:r w:rsidRPr="00357FBD">
        <w:rPr>
          <w:rFonts w:ascii="Arial" w:hAnsi="Arial" w:cs="Arial"/>
          <w:sz w:val="18"/>
          <w:szCs w:val="18"/>
        </w:rPr>
        <w:t>. Proceeding of The 1st Annual Applied Science and Engineering Conference (AASEC 2016).</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Ramani R. G, Shanthi S. </w:t>
      </w:r>
      <w:r w:rsidRPr="00357FBD">
        <w:rPr>
          <w:rFonts w:ascii="Arial" w:hAnsi="Arial" w:cs="Arial"/>
          <w:i/>
          <w:sz w:val="18"/>
          <w:szCs w:val="18"/>
        </w:rPr>
        <w:t>Classifier Prediction Evaluation in Modeling Road Traffic Accident Data,</w:t>
      </w:r>
      <w:r w:rsidRPr="00357FBD">
        <w:rPr>
          <w:rFonts w:ascii="Arial" w:hAnsi="Arial" w:cs="Arial"/>
          <w:sz w:val="18"/>
          <w:szCs w:val="18"/>
        </w:rPr>
        <w:t xml:space="preserve"> Conference Proceeding of Computational Intelligence &amp; Computing Research (ICCIC). 2012; Page(s): 1 – 4.</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bCs/>
          <w:sz w:val="18"/>
          <w:szCs w:val="18"/>
        </w:rPr>
        <w:t xml:space="preserve">Kamber, Jiawei H,  Micheline.  </w:t>
      </w:r>
      <w:r w:rsidRPr="00357FBD">
        <w:rPr>
          <w:rFonts w:ascii="Arial" w:hAnsi="Arial" w:cs="Arial"/>
          <w:iCs/>
          <w:sz w:val="18"/>
          <w:szCs w:val="18"/>
        </w:rPr>
        <w:t xml:space="preserve">Data Mining: Concept and Techniques. </w:t>
      </w:r>
      <w:r w:rsidRPr="00357FBD">
        <w:rPr>
          <w:rFonts w:ascii="Arial" w:hAnsi="Arial" w:cs="Arial"/>
          <w:sz w:val="18"/>
          <w:szCs w:val="18"/>
        </w:rPr>
        <w:t xml:space="preserve">CA USA.  Academic Press. 2001. </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bCs/>
          <w:sz w:val="18"/>
          <w:szCs w:val="18"/>
        </w:rPr>
        <w:t>Niswatin R. K, Sanjaya A. Classification Of Category Selection Title Undergraduate Thesis Using K-Nearest Neighbor Method. 2017;</w:t>
      </w:r>
      <w:r w:rsidRPr="00357FBD">
        <w:rPr>
          <w:rFonts w:ascii="Arial" w:hAnsi="Arial" w:cs="Arial"/>
          <w:bCs/>
          <w:i/>
          <w:sz w:val="18"/>
          <w:szCs w:val="18"/>
        </w:rPr>
        <w:t xml:space="preserve"> Indonesian Journal of Electrical Engineering and Computer Science.</w:t>
      </w:r>
      <w:r w:rsidRPr="00357FBD">
        <w:rPr>
          <w:rFonts w:ascii="Arial" w:hAnsi="Arial" w:cs="Arial"/>
          <w:bCs/>
          <w:sz w:val="18"/>
          <w:szCs w:val="18"/>
        </w:rPr>
        <w:t xml:space="preserve"> </w:t>
      </w:r>
      <w:r w:rsidRPr="00357FBD">
        <w:rPr>
          <w:rFonts w:ascii="Arial" w:hAnsi="Arial" w:cs="Arial"/>
          <w:sz w:val="18"/>
          <w:szCs w:val="18"/>
        </w:rPr>
        <w:t>Vol. 7. No. 3,  pp. 846 ~ 854.</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lang w:val="id-ID"/>
        </w:rPr>
      </w:pPr>
      <w:r w:rsidRPr="00357FBD">
        <w:rPr>
          <w:rFonts w:ascii="Arial" w:hAnsi="Arial" w:cs="Arial"/>
          <w:sz w:val="18"/>
          <w:szCs w:val="18"/>
        </w:rPr>
        <w:t xml:space="preserve">Bresfelean V. P., Bresfelean M., Ghisoiu N. </w:t>
      </w:r>
      <w:r w:rsidRPr="00357FBD">
        <w:rPr>
          <w:rFonts w:ascii="Arial" w:hAnsi="Arial" w:cs="Arial"/>
          <w:i/>
          <w:sz w:val="18"/>
          <w:szCs w:val="18"/>
        </w:rPr>
        <w:t>Determining Students’ Academic Failure Profile Founded on Data Mining Methods</w:t>
      </w:r>
      <w:r w:rsidRPr="00357FBD">
        <w:rPr>
          <w:rFonts w:ascii="Arial" w:hAnsi="Arial" w:cs="Arial"/>
          <w:sz w:val="18"/>
          <w:szCs w:val="18"/>
        </w:rPr>
        <w:t>. Conference Proceeding of 30th International Conference on Information Technology Interfaces. 2008; Page(s): 317 – 322.</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lang w:val="id-ID"/>
        </w:rPr>
      </w:pPr>
      <w:r w:rsidRPr="00357FBD">
        <w:rPr>
          <w:rFonts w:ascii="Arial" w:hAnsi="Arial" w:cs="Arial"/>
          <w:bCs/>
          <w:sz w:val="18"/>
          <w:szCs w:val="18"/>
        </w:rPr>
        <w:lastRenderedPageBreak/>
        <w:t xml:space="preserve">Hussain S, Dahan N.A,  Ba-Alwi F.M, Ribata N. Educational Data Mining and Analysis of Students’ Academic Performance Using WEKA. </w:t>
      </w:r>
      <w:r w:rsidRPr="00357FBD">
        <w:rPr>
          <w:rFonts w:ascii="Arial" w:hAnsi="Arial" w:cs="Arial"/>
          <w:bCs/>
          <w:i/>
          <w:sz w:val="18"/>
          <w:szCs w:val="18"/>
        </w:rPr>
        <w:t>Indonesian Journal of Electrical Engineering and Computer Science.</w:t>
      </w:r>
      <w:r w:rsidRPr="00357FBD">
        <w:rPr>
          <w:rFonts w:ascii="Arial" w:hAnsi="Arial" w:cs="Arial"/>
          <w:bCs/>
          <w:sz w:val="18"/>
          <w:szCs w:val="18"/>
        </w:rPr>
        <w:t xml:space="preserve"> 2018; </w:t>
      </w:r>
      <w:r w:rsidRPr="00357FBD">
        <w:rPr>
          <w:rFonts w:ascii="Arial" w:hAnsi="Arial" w:cs="Arial"/>
          <w:sz w:val="18"/>
          <w:szCs w:val="18"/>
        </w:rPr>
        <w:t xml:space="preserve">Vol. 9, No. 2. February.  pp. 447~459 </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Slaughter G, Kurtz Z, desJardins M, Hu, P. F, Mackenzie C, Stansbury FRCA L,  Stein D M, </w:t>
      </w:r>
      <w:r w:rsidRPr="00357FBD">
        <w:rPr>
          <w:rFonts w:ascii="Arial" w:hAnsi="Arial" w:cs="Arial"/>
          <w:i/>
          <w:sz w:val="18"/>
          <w:szCs w:val="18"/>
          <w:lang w:val="en-US"/>
        </w:rPr>
        <w:t>R</w:t>
      </w:r>
      <w:r w:rsidRPr="00357FBD">
        <w:rPr>
          <w:rFonts w:ascii="Arial" w:hAnsi="Arial" w:cs="Arial"/>
          <w:i/>
          <w:sz w:val="18"/>
          <w:szCs w:val="18"/>
        </w:rPr>
        <w:t>ediction of Mortality</w:t>
      </w:r>
      <w:r w:rsidRPr="00357FBD">
        <w:rPr>
          <w:rFonts w:ascii="Arial" w:hAnsi="Arial" w:cs="Arial"/>
          <w:sz w:val="18"/>
          <w:szCs w:val="18"/>
        </w:rPr>
        <w:t>. Proceeding of IEEE Biomedical Circuits and Systems Conference (BioCAS). 2012; Page(s) 1 – 4.</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Munandar T. A, Winarko E. Regional Development Classification Model using Decision Tree Approach. </w:t>
      </w:r>
      <w:r w:rsidRPr="00357FBD">
        <w:rPr>
          <w:rFonts w:ascii="Arial" w:hAnsi="Arial" w:cs="Arial"/>
          <w:i/>
          <w:sz w:val="18"/>
          <w:szCs w:val="18"/>
        </w:rPr>
        <w:t>International Journal of Computer Applications</w:t>
      </w:r>
      <w:r w:rsidRPr="00357FBD">
        <w:rPr>
          <w:rFonts w:ascii="Arial" w:hAnsi="Arial" w:cs="Arial"/>
          <w:sz w:val="18"/>
          <w:szCs w:val="18"/>
        </w:rPr>
        <w:t>, 2015; Volume 114 – No. 8, pp. 28 – 33.</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Mori, Hiroyuki. </w:t>
      </w:r>
      <w:r w:rsidRPr="00357FBD">
        <w:rPr>
          <w:rFonts w:ascii="Arial" w:hAnsi="Arial" w:cs="Arial"/>
          <w:i/>
          <w:sz w:val="18"/>
          <w:szCs w:val="18"/>
        </w:rPr>
        <w:t>Application of NBTree to Selection of Meteorological Variables in Wind Speed Prediction</w:t>
      </w:r>
      <w:r w:rsidRPr="00357FBD">
        <w:rPr>
          <w:rFonts w:ascii="Arial" w:hAnsi="Arial" w:cs="Arial"/>
          <w:sz w:val="18"/>
          <w:szCs w:val="18"/>
        </w:rPr>
        <w:t>. Conference Proceeding of Transmission &amp; Distribution Conference &amp; Exposition: Asia and Pacific. 2009; Page(s): 1 – 4.</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Kohavi R, </w:t>
      </w:r>
      <w:r w:rsidRPr="00357FBD">
        <w:rPr>
          <w:rFonts w:ascii="Arial" w:hAnsi="Arial" w:cs="Arial"/>
          <w:i/>
          <w:iCs/>
          <w:sz w:val="18"/>
          <w:szCs w:val="18"/>
          <w:lang w:val="en-US"/>
        </w:rPr>
        <w:t>Scaling Up the Accuracy of Naïve-Bayes Classifiers : a Decision-Tree Hybrid</w:t>
      </w:r>
      <w:r w:rsidR="00A705CE">
        <w:rPr>
          <w:rFonts w:ascii="Arial" w:hAnsi="Arial" w:cs="Arial"/>
          <w:sz w:val="18"/>
          <w:szCs w:val="18"/>
        </w:rPr>
        <w:t xml:space="preserve">. AAAI. </w:t>
      </w:r>
      <w:r w:rsidRPr="00357FBD">
        <w:rPr>
          <w:rFonts w:ascii="Arial" w:hAnsi="Arial" w:cs="Arial"/>
          <w:sz w:val="18"/>
          <w:szCs w:val="18"/>
        </w:rPr>
        <w:t>1996.</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Zhao Y, Zhang Y. </w:t>
      </w:r>
      <w:r w:rsidRPr="00357FBD">
        <w:rPr>
          <w:rFonts w:ascii="Arial" w:hAnsi="Arial" w:cs="Arial"/>
          <w:iCs/>
          <w:sz w:val="18"/>
          <w:szCs w:val="18"/>
          <w:lang w:val="en-US"/>
        </w:rPr>
        <w:t>Comparison of decision tree methods for finding active objects</w:t>
      </w:r>
      <w:r w:rsidRPr="00357FBD">
        <w:rPr>
          <w:rFonts w:ascii="Arial" w:hAnsi="Arial" w:cs="Arial"/>
          <w:sz w:val="18"/>
          <w:szCs w:val="18"/>
        </w:rPr>
        <w:t>.</w:t>
      </w:r>
      <w:r w:rsidRPr="00357FBD">
        <w:rPr>
          <w:rFonts w:ascii="Arial" w:hAnsi="Arial" w:cs="Arial"/>
          <w:sz w:val="18"/>
          <w:szCs w:val="18"/>
          <w:lang w:val="en-US"/>
        </w:rPr>
        <w:t xml:space="preserve"> </w:t>
      </w:r>
      <w:r w:rsidRPr="00357FBD">
        <w:rPr>
          <w:rFonts w:ascii="Arial" w:hAnsi="Arial" w:cs="Arial"/>
          <w:i/>
          <w:iCs/>
          <w:sz w:val="18"/>
          <w:szCs w:val="18"/>
          <w:lang w:val="en-US"/>
        </w:rPr>
        <w:t>Advances in Space Research</w:t>
      </w:r>
      <w:r w:rsidRPr="00357FBD">
        <w:rPr>
          <w:rFonts w:ascii="Arial" w:hAnsi="Arial" w:cs="Arial"/>
          <w:sz w:val="18"/>
          <w:szCs w:val="18"/>
        </w:rPr>
        <w:t>.</w:t>
      </w:r>
      <w:r w:rsidRPr="00357FBD">
        <w:rPr>
          <w:rFonts w:ascii="Arial" w:hAnsi="Arial" w:cs="Arial"/>
          <w:sz w:val="18"/>
          <w:szCs w:val="18"/>
          <w:lang w:val="en-US"/>
        </w:rPr>
        <w:t xml:space="preserve"> </w:t>
      </w:r>
      <w:r w:rsidRPr="00357FBD">
        <w:rPr>
          <w:rFonts w:ascii="Arial" w:hAnsi="Arial" w:cs="Arial"/>
          <w:sz w:val="18"/>
          <w:szCs w:val="18"/>
        </w:rPr>
        <w:t xml:space="preserve">2008; </w:t>
      </w:r>
      <w:r w:rsidRPr="00357FBD">
        <w:rPr>
          <w:rFonts w:ascii="Arial" w:hAnsi="Arial" w:cs="Arial"/>
          <w:iCs/>
          <w:sz w:val="18"/>
          <w:szCs w:val="18"/>
          <w:lang w:val="en-US"/>
        </w:rPr>
        <w:t>41(12)</w:t>
      </w:r>
      <w:r w:rsidRPr="00357FBD">
        <w:rPr>
          <w:rFonts w:ascii="Arial" w:hAnsi="Arial" w:cs="Arial"/>
          <w:sz w:val="18"/>
          <w:szCs w:val="18"/>
        </w:rPr>
        <w:t>, 1955–1959.</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Gayatri N, Nickolas S, Reddy A.V, Chitra R. </w:t>
      </w:r>
      <w:r w:rsidRPr="00357FBD">
        <w:rPr>
          <w:rFonts w:ascii="Arial" w:hAnsi="Arial" w:cs="Arial"/>
          <w:i/>
          <w:sz w:val="18"/>
          <w:szCs w:val="18"/>
        </w:rPr>
        <w:t>Performance Analysis Of Data Mining Algorithms For Software Quality Prediction</w:t>
      </w:r>
      <w:r w:rsidRPr="00357FBD">
        <w:rPr>
          <w:rFonts w:ascii="Arial" w:hAnsi="Arial" w:cs="Arial"/>
          <w:sz w:val="18"/>
          <w:szCs w:val="18"/>
        </w:rPr>
        <w:t>. Conference Proceeding of International Conference on Advances in Recent Technologies in Communication and Computing. 2009; Page(s) : 393 – 395.</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Goyal A, Mehta R. </w:t>
      </w:r>
      <w:r w:rsidRPr="00357FBD">
        <w:rPr>
          <w:rFonts w:ascii="Arial" w:hAnsi="Arial" w:cs="Arial"/>
          <w:iCs/>
          <w:sz w:val="18"/>
          <w:szCs w:val="18"/>
          <w:lang w:val="en-US"/>
        </w:rPr>
        <w:t>Performance comparison of Naïve Bayes and J48 classification algorithms</w:t>
      </w:r>
      <w:r w:rsidRPr="00357FBD">
        <w:rPr>
          <w:rFonts w:ascii="Arial" w:hAnsi="Arial" w:cs="Arial"/>
          <w:iCs/>
          <w:sz w:val="18"/>
          <w:szCs w:val="18"/>
        </w:rPr>
        <w:t>.</w:t>
      </w:r>
      <w:r w:rsidRPr="00357FBD">
        <w:rPr>
          <w:rFonts w:ascii="Arial" w:hAnsi="Arial" w:cs="Arial"/>
          <w:sz w:val="18"/>
          <w:szCs w:val="18"/>
          <w:lang w:val="en-US"/>
        </w:rPr>
        <w:t xml:space="preserve"> </w:t>
      </w:r>
      <w:r w:rsidRPr="00357FBD">
        <w:rPr>
          <w:rFonts w:ascii="Arial" w:hAnsi="Arial" w:cs="Arial"/>
          <w:i/>
          <w:iCs/>
          <w:sz w:val="18"/>
          <w:szCs w:val="18"/>
          <w:lang w:val="en-US"/>
        </w:rPr>
        <w:t>International Journal of Applied Engineering Research</w:t>
      </w:r>
      <w:r w:rsidRPr="00357FBD">
        <w:rPr>
          <w:rFonts w:ascii="Arial" w:hAnsi="Arial" w:cs="Arial"/>
          <w:sz w:val="18"/>
          <w:szCs w:val="18"/>
          <w:lang w:val="en-US"/>
        </w:rPr>
        <w:t>,</w:t>
      </w:r>
      <w:r w:rsidRPr="00357FBD">
        <w:rPr>
          <w:rFonts w:ascii="Arial" w:hAnsi="Arial" w:cs="Arial"/>
          <w:sz w:val="18"/>
          <w:szCs w:val="18"/>
        </w:rPr>
        <w:t xml:space="preserve"> 2012; </w:t>
      </w:r>
      <w:r w:rsidRPr="00357FBD">
        <w:rPr>
          <w:rFonts w:ascii="Arial" w:hAnsi="Arial" w:cs="Arial"/>
          <w:sz w:val="18"/>
          <w:szCs w:val="18"/>
          <w:lang w:val="en-US"/>
        </w:rPr>
        <w:t xml:space="preserve"> </w:t>
      </w:r>
      <w:r w:rsidRPr="00357FBD">
        <w:rPr>
          <w:rFonts w:ascii="Arial" w:hAnsi="Arial" w:cs="Arial"/>
          <w:iCs/>
          <w:sz w:val="18"/>
          <w:szCs w:val="18"/>
          <w:lang w:val="en-US"/>
        </w:rPr>
        <w:t>7</w:t>
      </w:r>
      <w:r w:rsidRPr="00357FBD">
        <w:rPr>
          <w:rFonts w:ascii="Arial" w:hAnsi="Arial" w:cs="Arial"/>
          <w:sz w:val="18"/>
          <w:szCs w:val="18"/>
        </w:rPr>
        <w:t>(11 SUPPL.), 1389–1393.</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Aswandi H, Kuncoro M, Evaluasi Penetapan Kawasan Andalan : Studi Empiris di Kalimantan Selatan 1993-1998. </w:t>
      </w:r>
      <w:r w:rsidRPr="00357FBD">
        <w:rPr>
          <w:rFonts w:ascii="Arial" w:hAnsi="Arial" w:cs="Arial"/>
          <w:i/>
          <w:sz w:val="18"/>
          <w:szCs w:val="18"/>
        </w:rPr>
        <w:t>Jurnal Ekonomi dan Bisnis Indonesia</w:t>
      </w:r>
      <w:r w:rsidRPr="00357FBD">
        <w:rPr>
          <w:rFonts w:ascii="Arial" w:hAnsi="Arial" w:cs="Arial"/>
          <w:sz w:val="18"/>
          <w:szCs w:val="18"/>
        </w:rPr>
        <w:t xml:space="preserve">. 2002; </w:t>
      </w:r>
      <w:r w:rsidR="00D61780">
        <w:rPr>
          <w:rFonts w:ascii="Arial" w:hAnsi="Arial" w:cs="Arial"/>
          <w:sz w:val="18"/>
          <w:szCs w:val="18"/>
        </w:rPr>
        <w:t xml:space="preserve">Vol. 17, No. 1, pp. 27 – 45. </w:t>
      </w:r>
      <w:r w:rsidRPr="00357FBD">
        <w:rPr>
          <w:rFonts w:ascii="Arial" w:hAnsi="Arial" w:cs="Arial"/>
          <w:sz w:val="18"/>
          <w:szCs w:val="18"/>
        </w:rPr>
        <w:t>in Bahasa.</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Todaro M. P. Economic Development, Seventh Edition. New York. Addition Wesley Longman. Inc.</w:t>
      </w:r>
      <w:r w:rsidRPr="00357FBD">
        <w:rPr>
          <w:rFonts w:ascii="Arial" w:hAnsi="Arial" w:cs="Arial"/>
          <w:sz w:val="18"/>
          <w:szCs w:val="18"/>
          <w:lang w:val="en-US"/>
        </w:rPr>
        <w:t xml:space="preserve"> 2000.</w:t>
      </w:r>
    </w:p>
    <w:p w:rsidR="001A71C3" w:rsidRPr="00357FBD" w:rsidRDefault="001A71C3" w:rsidP="001A71C3">
      <w:pPr>
        <w:pStyle w:val="ListParagraph"/>
        <w:numPr>
          <w:ilvl w:val="0"/>
          <w:numId w:val="19"/>
        </w:numPr>
        <w:spacing w:after="0" w:line="240" w:lineRule="auto"/>
        <w:ind w:left="567" w:hanging="567"/>
        <w:jc w:val="both"/>
        <w:rPr>
          <w:rFonts w:ascii="Arial" w:hAnsi="Arial" w:cs="Arial"/>
          <w:sz w:val="18"/>
          <w:szCs w:val="18"/>
        </w:rPr>
      </w:pPr>
      <w:r w:rsidRPr="00357FBD">
        <w:rPr>
          <w:rFonts w:ascii="Arial" w:hAnsi="Arial" w:cs="Arial"/>
          <w:sz w:val="18"/>
          <w:szCs w:val="18"/>
        </w:rPr>
        <w:t xml:space="preserve">Sutarno, Kuncoro M. Ketimpangan Antar Kecamatan Di Kabupaten Banyumas 1993-2000. </w:t>
      </w:r>
      <w:r w:rsidRPr="00357FBD">
        <w:rPr>
          <w:rFonts w:ascii="Arial" w:hAnsi="Arial" w:cs="Arial"/>
          <w:i/>
          <w:sz w:val="18"/>
          <w:szCs w:val="18"/>
        </w:rPr>
        <w:t>Jurnal Ekonomi Pembangunan</w:t>
      </w:r>
      <w:r w:rsidRPr="00357FBD">
        <w:rPr>
          <w:rFonts w:ascii="Arial" w:hAnsi="Arial" w:cs="Arial"/>
          <w:sz w:val="18"/>
          <w:szCs w:val="18"/>
        </w:rPr>
        <w:t>, 2000; 8(2). 97–110. in Bahasa.</w:t>
      </w:r>
    </w:p>
    <w:p w:rsidR="001A71C3" w:rsidRPr="00357FBD" w:rsidRDefault="001A71C3" w:rsidP="002F7316">
      <w:pPr>
        <w:ind w:left="360"/>
        <w:rPr>
          <w:rFonts w:ascii="Arial" w:hAnsi="Arial" w:cs="Arial"/>
          <w:b/>
          <w:bCs/>
          <w:sz w:val="18"/>
          <w:szCs w:val="18"/>
        </w:rPr>
      </w:pPr>
    </w:p>
    <w:p w:rsidR="00157F2B" w:rsidRDefault="00157F2B" w:rsidP="002F7316">
      <w:pPr>
        <w:ind w:left="360"/>
        <w:rPr>
          <w:rFonts w:ascii="Arial" w:hAnsi="Arial" w:cs="Arial"/>
          <w:b/>
          <w:bCs/>
          <w:sz w:val="16"/>
        </w:rPr>
      </w:pPr>
    </w:p>
    <w:sectPr w:rsidR="00157F2B" w:rsidSect="007D2DFE">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470" w:rsidRDefault="00273470">
      <w:r>
        <w:separator/>
      </w:r>
    </w:p>
  </w:endnote>
  <w:endnote w:type="continuationSeparator" w:id="0">
    <w:p w:rsidR="00273470" w:rsidRDefault="0027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52" w:rsidRPr="003E3C53" w:rsidRDefault="00B47552" w:rsidP="008B04B3">
    <w:pPr>
      <w:pStyle w:val="Header"/>
      <w:tabs>
        <w:tab w:val="clear" w:pos="4320"/>
        <w:tab w:val="clear" w:pos="8640"/>
        <w:tab w:val="left" w:pos="2992"/>
      </w:tabs>
      <w:ind w:right="90"/>
      <w:rPr>
        <w:rFonts w:ascii="Arial" w:hAnsi="Arial" w:cs="Arial"/>
      </w:rPr>
    </w:pPr>
    <w:r>
      <w:rPr>
        <w:rFonts w:ascii="Arial" w:hAnsi="Arial" w:cs="Arial"/>
        <w:b/>
        <w:noProof/>
      </w:rPr>
      <mc:AlternateContent>
        <mc:Choice Requires="wps">
          <w:drawing>
            <wp:anchor distT="0" distB="0" distL="114300" distR="114300" simplePos="0" relativeHeight="251658752" behindDoc="0" locked="0" layoutInCell="1" allowOverlap="1" wp14:anchorId="44576B28" wp14:editId="68B6AC47">
              <wp:simplePos x="0" y="0"/>
              <wp:positionH relativeFrom="column">
                <wp:posOffset>-40640</wp:posOffset>
              </wp:positionH>
              <wp:positionV relativeFrom="paragraph">
                <wp:posOffset>-28575</wp:posOffset>
              </wp:positionV>
              <wp:extent cx="5462270" cy="0"/>
              <wp:effectExtent l="6985" t="9525" r="762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4u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atju&#10;LhICAAAoBAAADgAAAAAAAAAAAAAAAAAuAgAAZHJzL2Uyb0RvYy54bWxQSwECLQAUAAYACAAAACEA&#10;9tq0It0AAAAIAQAADwAAAAAAAAAAAAAAAABsBAAAZHJzL2Rvd25yZXYueG1sUEsFBgAAAAAEAAQA&#10;8wAAAHYFAAAAAA==&#10;"/>
          </w:pict>
        </mc:Fallback>
      </mc:AlternateContent>
    </w:r>
    <w:r w:rsidRPr="00B0540B">
      <w:rPr>
        <w:rFonts w:ascii="Arial Narrow" w:hAnsi="Arial Narrow" w:cs="Arial"/>
        <w:lang w:val="it-IT"/>
      </w:rPr>
      <w:t xml:space="preserve"> </w:t>
    </w:r>
    <w:r>
      <w:rPr>
        <w:rFonts w:ascii="Arial" w:hAnsi="Arial" w:cs="Arial"/>
        <w:b/>
      </w:rPr>
      <w:t>IJEECS</w:t>
    </w:r>
    <w:r w:rsidRPr="008B04B3">
      <w:rPr>
        <w:rFonts w:ascii="Arial" w:hAnsi="Arial" w:cs="Arial"/>
        <w:b/>
      </w:rPr>
      <w:t xml:space="preserve"> </w:t>
    </w:r>
    <w:r>
      <w:rPr>
        <w:rFonts w:ascii="Arial" w:hAnsi="Arial" w:cs="Arial"/>
      </w:rPr>
      <w:t>Vol. 5</w:t>
    </w:r>
    <w:r w:rsidRPr="008B04B3">
      <w:rPr>
        <w:rFonts w:ascii="Arial" w:hAnsi="Arial" w:cs="Arial"/>
      </w:rPr>
      <w:t xml:space="preserve">, </w:t>
    </w:r>
    <w:r>
      <w:rPr>
        <w:rFonts w:ascii="Arial" w:hAnsi="Arial" w:cs="Arial"/>
      </w:rPr>
      <w:t xml:space="preserve">No. 3, March 2017 </w:t>
    </w:r>
    <w:r w:rsidRPr="008B04B3">
      <w:rPr>
        <w:rFonts w:ascii="Arial" w:hAnsi="Arial" w:cs="Arial"/>
      </w:rPr>
      <w:t xml:space="preserve">:  </w:t>
    </w:r>
    <w:r>
      <w:rPr>
        <w:rFonts w:ascii="Arial" w:hAnsi="Arial" w:cs="Arial"/>
      </w:rPr>
      <w:t>xxx – 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52" w:rsidRPr="00D94A99" w:rsidRDefault="00B47552" w:rsidP="0094367D">
    <w:pPr>
      <w:pStyle w:val="Footer"/>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52" w:rsidRPr="0075769A" w:rsidRDefault="00B47552" w:rsidP="0075769A">
    <w:pPr>
      <w:pStyle w:val="Footer"/>
      <w:pBdr>
        <w:top w:val="single" w:sz="4" w:space="1" w:color="auto"/>
      </w:pBdr>
      <w:rPr>
        <w:rFonts w:ascii="Arial" w:hAnsi="Arial" w:cs="Arial"/>
        <w:i/>
        <w:szCs w:val="18"/>
      </w:rPr>
    </w:pPr>
    <w:r w:rsidRPr="0075769A">
      <w:rPr>
        <w:rFonts w:ascii="Arial" w:hAnsi="Arial" w:cs="Arial"/>
        <w:i/>
        <w:szCs w:val="18"/>
      </w:rPr>
      <w:t xml:space="preserve">Received </w:t>
    </w:r>
    <w:r>
      <w:rPr>
        <w:rFonts w:ascii="Arial" w:hAnsi="Arial" w:cs="Arial"/>
        <w:i/>
        <w:szCs w:val="18"/>
      </w:rPr>
      <w:t>September 2</w:t>
    </w:r>
    <w:r w:rsidRPr="0075769A">
      <w:rPr>
        <w:rFonts w:ascii="Arial" w:hAnsi="Arial" w:cs="Arial"/>
        <w:i/>
        <w:szCs w:val="18"/>
      </w:rPr>
      <w:t>, 201</w:t>
    </w:r>
    <w:r>
      <w:rPr>
        <w:rFonts w:ascii="Arial" w:hAnsi="Arial" w:cs="Arial"/>
        <w:i/>
        <w:szCs w:val="18"/>
      </w:rPr>
      <w:t>6</w:t>
    </w:r>
    <w:r w:rsidRPr="0075769A">
      <w:rPr>
        <w:rFonts w:ascii="Arial" w:hAnsi="Arial" w:cs="Arial"/>
        <w:i/>
        <w:szCs w:val="18"/>
      </w:rPr>
      <w:t xml:space="preserve">; Revised </w:t>
    </w:r>
    <w:r>
      <w:rPr>
        <w:rFonts w:ascii="Arial" w:hAnsi="Arial" w:cs="Arial"/>
        <w:i/>
        <w:szCs w:val="18"/>
      </w:rPr>
      <w:t>December 25,</w:t>
    </w:r>
    <w:r w:rsidRPr="0075769A">
      <w:rPr>
        <w:rFonts w:ascii="Arial" w:hAnsi="Arial" w:cs="Arial"/>
        <w:i/>
        <w:szCs w:val="18"/>
      </w:rPr>
      <w:t xml:space="preserve"> 201</w:t>
    </w:r>
    <w:r>
      <w:rPr>
        <w:rFonts w:ascii="Arial" w:hAnsi="Arial" w:cs="Arial"/>
        <w:i/>
        <w:szCs w:val="18"/>
      </w:rPr>
      <w:t>6</w:t>
    </w:r>
    <w:r w:rsidRPr="0075769A">
      <w:rPr>
        <w:rFonts w:ascii="Arial" w:hAnsi="Arial" w:cs="Arial"/>
        <w:i/>
        <w:szCs w:val="18"/>
      </w:rPr>
      <w:t xml:space="preserve">; Accepted </w:t>
    </w:r>
    <w:r>
      <w:rPr>
        <w:rFonts w:ascii="Arial" w:hAnsi="Arial" w:cs="Arial"/>
        <w:i/>
        <w:szCs w:val="18"/>
      </w:rPr>
      <w:t>January 11,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470" w:rsidRDefault="00273470">
      <w:r>
        <w:separator/>
      </w:r>
    </w:p>
  </w:footnote>
  <w:footnote w:type="continuationSeparator" w:id="0">
    <w:p w:rsidR="00273470" w:rsidRDefault="00273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52" w:rsidRPr="008B04B3" w:rsidRDefault="00B47552"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1674A4">
      <w:rPr>
        <w:rStyle w:val="PageNumber"/>
        <w:rFonts w:ascii="Arial" w:hAnsi="Arial" w:cs="Arial"/>
        <w:noProof/>
      </w:rPr>
      <w:t>404</w:t>
    </w:r>
    <w:r w:rsidRPr="008B04B3">
      <w:rPr>
        <w:rStyle w:val="PageNumber"/>
        <w:rFonts w:ascii="Arial" w:hAnsi="Arial" w:cs="Arial"/>
      </w:rPr>
      <w:fldChar w:fldCharType="end"/>
    </w:r>
  </w:p>
  <w:p w:rsidR="00B47552" w:rsidRPr="008B04B3" w:rsidRDefault="00B47552" w:rsidP="0075769A">
    <w:pPr>
      <w:pStyle w:val="Header"/>
      <w:tabs>
        <w:tab w:val="clear" w:pos="4320"/>
        <w:tab w:val="clear" w:pos="8640"/>
        <w:tab w:val="left" w:pos="2992"/>
        <w:tab w:val="right" w:pos="8505"/>
      </w:tabs>
    </w:pPr>
    <w:r>
      <w:rPr>
        <w:rFonts w:ascii="Arial" w:hAnsi="Arial" w:cs="Arial"/>
        <w:b/>
        <w:noProof/>
      </w:rPr>
      <mc:AlternateContent>
        <mc:Choice Requires="wps">
          <w:drawing>
            <wp:anchor distT="0" distB="0" distL="114300" distR="114300" simplePos="0" relativeHeight="251657728" behindDoc="0" locked="0" layoutInCell="1" allowOverlap="1" wp14:anchorId="598B34C3" wp14:editId="4C73F016">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Pr>
        <w:rFonts w:ascii="Arial" w:hAnsi="Arial" w:cs="Arial"/>
        <w:b/>
        <w:noProof/>
      </w:rPr>
      <mc:AlternateContent>
        <mc:Choice Requires="wps">
          <w:drawing>
            <wp:anchor distT="0" distB="0" distL="114300" distR="114300" simplePos="0" relativeHeight="251660800" behindDoc="0" locked="0" layoutInCell="1" allowOverlap="1" wp14:anchorId="16CE4E44" wp14:editId="039D4B1E">
              <wp:simplePos x="0" y="0"/>
              <wp:positionH relativeFrom="column">
                <wp:posOffset>-11430</wp:posOffset>
              </wp:positionH>
              <wp:positionV relativeFrom="paragraph">
                <wp:posOffset>188595</wp:posOffset>
              </wp:positionV>
              <wp:extent cx="5462270" cy="0"/>
              <wp:effectExtent l="7620" t="7620" r="698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jA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GkmOb5E4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m3xo&#10;wBICAAAoBAAADgAAAAAAAAAAAAAAAAAuAgAAZHJzL2Uyb0RvYy54bWxQSwECLQAUAAYACAAAACEA&#10;tVOcYt0AAAAIAQAADwAAAAAAAAAAAAAAAABsBAAAZHJzL2Rvd25yZXYueG1sUEsFBgAAAAAEAAQA&#10;8wAAAHYFAAAAAA==&#10;"/>
          </w:pict>
        </mc:Fallback>
      </mc:AlternateContent>
    </w:r>
    <w:r>
      <w:t xml:space="preserve">           </w:t>
    </w:r>
    <w:r>
      <w:sym w:font="Wingdings" w:char="F06E"/>
    </w:r>
    <w:r>
      <w:tab/>
      <w:t xml:space="preserve"> </w:t>
    </w:r>
    <w:r>
      <w:tab/>
      <w:t xml:space="preserve"> </w:t>
    </w:r>
    <w:r w:rsidRPr="008B04B3">
      <w:t xml:space="preserve">      </w:t>
    </w:r>
    <w:r w:rsidRPr="00820D25">
      <w:rPr>
        <w:rFonts w:ascii="Arial" w:hAnsi="Arial" w:cs="Arial"/>
      </w:rPr>
      <w:t xml:space="preserve">ISSN: </w:t>
    </w:r>
    <w:r w:rsidRPr="0006256E">
      <w:rPr>
        <w:rFonts w:ascii="Arial" w:hAnsi="Arial" w:cs="Arial"/>
      </w:rPr>
      <w:t>2502-4752</w:t>
    </w:r>
    <w:r>
      <w:tab/>
      <w:t xml:space="preserve"> </w:t>
    </w:r>
    <w:r>
      <w:tab/>
      <w:t xml:space="preserve"> </w:t>
    </w:r>
    <w:r w:rsidRPr="008B04B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52" w:rsidRPr="00E474DC" w:rsidRDefault="00B47552"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1674A4">
      <w:rPr>
        <w:rStyle w:val="PageNumber"/>
        <w:rFonts w:ascii="Arial" w:hAnsi="Arial" w:cs="Arial"/>
        <w:noProof/>
      </w:rPr>
      <w:t>405</w:t>
    </w:r>
    <w:r w:rsidRPr="00E474DC">
      <w:rPr>
        <w:rStyle w:val="PageNumber"/>
        <w:rFonts w:ascii="Arial" w:hAnsi="Arial" w:cs="Arial"/>
      </w:rPr>
      <w:fldChar w:fldCharType="end"/>
    </w:r>
  </w:p>
  <w:p w:rsidR="00B47552" w:rsidRPr="000213C3" w:rsidRDefault="00B47552"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Pr="00E474DC">
      <w:rPr>
        <w:rFonts w:ascii="Arial" w:hAnsi="Arial" w:cs="Arial"/>
        <w:b/>
      </w:rPr>
      <w:t xml:space="preserve"> </w:t>
    </w:r>
    <w:r w:rsidRPr="00E474DC">
      <w:rPr>
        <w:rFonts w:ascii="Arial" w:hAnsi="Arial" w:cs="Arial"/>
      </w:rPr>
      <w:tab/>
    </w:r>
    <w:r w:rsidRPr="00820D25">
      <w:rPr>
        <w:rFonts w:ascii="Arial" w:hAnsi="Arial" w:cs="Arial"/>
      </w:rPr>
      <w:t xml:space="preserve">ISSN: </w:t>
    </w:r>
    <w:r w:rsidRPr="0006256E">
      <w:rPr>
        <w:rFonts w:ascii="Arial" w:hAnsi="Arial" w:cs="Arial"/>
      </w:rPr>
      <w:t>2502-4752</w:t>
    </w:r>
    <w:r>
      <w:rPr>
        <w:rFonts w:ascii="Arial" w:hAnsi="Arial" w:cs="Arial"/>
      </w:rPr>
      <w:tab/>
    </w:r>
    <w:r>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52" w:rsidRDefault="00B47552"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B47552" w:rsidRDefault="00B47552" w:rsidP="008B04B3">
    <w:pPr>
      <w:pStyle w:val="Header"/>
      <w:tabs>
        <w:tab w:val="clear" w:pos="4320"/>
        <w:tab w:val="clear" w:pos="8640"/>
      </w:tabs>
      <w:ind w:right="45"/>
      <w:rPr>
        <w:rFonts w:ascii="Arial" w:hAnsi="Arial" w:cs="Arial"/>
      </w:rPr>
    </w:pPr>
    <w:r>
      <w:rPr>
        <w:rFonts w:ascii="Arial" w:hAnsi="Arial" w:cs="Arial"/>
      </w:rPr>
      <w:t>Vol. 5, No. 3, March 2017, pp. 401 ~</w:t>
    </w:r>
    <w:r w:rsidRPr="00F57287">
      <w:rPr>
        <w:rFonts w:ascii="Arial" w:hAnsi="Arial" w:cs="Arial"/>
      </w:rPr>
      <w:t xml:space="preserve"> </w:t>
    </w:r>
    <w:r>
      <w:rPr>
        <w:rFonts w:ascii="Arial" w:hAnsi="Arial" w:cs="Arial"/>
      </w:rPr>
      <w:t>408</w:t>
    </w:r>
  </w:p>
  <w:p w:rsidR="00B47552" w:rsidRPr="008B04B3" w:rsidRDefault="00B47552" w:rsidP="00EF1185">
    <w:pPr>
      <w:pStyle w:val="Header"/>
      <w:tabs>
        <w:tab w:val="clear" w:pos="4320"/>
        <w:tab w:val="clear" w:pos="8640"/>
        <w:tab w:val="right" w:pos="8505"/>
      </w:tabs>
      <w:rPr>
        <w:rStyle w:val="PageNumber"/>
        <w:rFonts w:ascii="Arial" w:hAnsi="Arial" w:cs="Arial"/>
      </w:rPr>
    </w:pPr>
    <w:r>
      <w:rPr>
        <w:rStyle w:val="PageNumber"/>
        <w:rFonts w:ascii="Arial" w:hAnsi="Arial" w:cs="Arial"/>
        <w:lang w:val="it-IT"/>
      </w:rPr>
      <w:t>DOI: 10.11591/ijeecs.v5.</w:t>
    </w:r>
    <w:r w:rsidRPr="003E3C53">
      <w:rPr>
        <w:rStyle w:val="PageNumber"/>
        <w:rFonts w:ascii="Arial" w:hAnsi="Arial" w:cs="Arial"/>
        <w:lang w:val="it-IT"/>
      </w:rPr>
      <w:t>i</w:t>
    </w:r>
    <w:r>
      <w:rPr>
        <w:rStyle w:val="PageNumber"/>
        <w:rFonts w:ascii="Arial" w:hAnsi="Arial" w:cs="Arial"/>
        <w:lang w:val="it-IT"/>
      </w:rPr>
      <w:t>3</w:t>
    </w:r>
    <w:r w:rsidRPr="003E3C53">
      <w:rPr>
        <w:rStyle w:val="PageNumber"/>
        <w:rFonts w:ascii="Arial" w:hAnsi="Arial" w:cs="Arial"/>
        <w:lang w:val="it-IT"/>
      </w:rPr>
      <w:t>.</w:t>
    </w:r>
    <w:r w:rsidRPr="00600C9F">
      <w:rPr>
        <w:rStyle w:val="PageNumber"/>
        <w:rFonts w:ascii="Arial" w:hAnsi="Arial" w:cs="Arial"/>
        <w:lang w:val="it-IT"/>
      </w:rPr>
      <w:t>pp</w:t>
    </w:r>
    <w:r>
      <w:rPr>
        <w:rStyle w:val="PageNumber"/>
        <w:rFonts w:ascii="Arial" w:hAnsi="Arial" w:cs="Arial"/>
        <w:lang w:val="it-IT"/>
      </w:rPr>
      <w:t>401</w:t>
    </w:r>
    <w:r w:rsidRPr="00600C9F">
      <w:rPr>
        <w:rStyle w:val="PageNumber"/>
        <w:rFonts w:ascii="Arial" w:hAnsi="Arial" w:cs="Arial"/>
        <w:lang w:val="it-IT"/>
      </w:rPr>
      <w:t>-</w:t>
    </w:r>
    <w:r>
      <w:rPr>
        <w:rStyle w:val="PageNumber"/>
        <w:rFonts w:ascii="Arial" w:hAnsi="Arial" w:cs="Arial"/>
        <w:lang w:val="it-IT"/>
      </w:rPr>
      <w:t>408</w:t>
    </w:r>
    <w:r>
      <w:rPr>
        <w:rStyle w:val="PageNumber"/>
        <w:rFonts w:ascii="Arial Narrow" w:hAnsi="Arial Narrow" w:cs="Arial"/>
        <w:lang w:val="it-IT"/>
      </w:rPr>
      <w:tab/>
      <w:t xml:space="preserve"> </w:t>
    </w:r>
    <w:r w:rsidRPr="008B04B3">
      <w:rPr>
        <w:rFonts w:ascii="Arial" w:hAnsi="Arial" w:cs="Arial"/>
      </w:rPr>
      <w:sym w:font="Wingdings" w:char="F06E"/>
    </w:r>
    <w:r w:rsidRPr="008B04B3">
      <w:rPr>
        <w:rFonts w:ascii="Arial" w:hAnsi="Arial" w:cs="Arial"/>
      </w:rPr>
      <w:t xml:space="preserve"> </w:t>
    </w:r>
    <w:r>
      <w:rPr>
        <w:rFonts w:ascii="Arial" w:hAnsi="Arial" w:cs="Arial"/>
      </w:rPr>
      <w:t xml:space="preserve">   </w:t>
    </w:r>
    <w:r w:rsidRPr="008B04B3">
      <w:rPr>
        <w:rStyle w:val="PageNumber"/>
        <w:rFonts w:ascii="Arial" w:hAnsi="Arial" w:cs="Arial"/>
      </w:rPr>
      <w:fldChar w:fldCharType="begin"/>
    </w:r>
    <w:r w:rsidRPr="008B04B3">
      <w:rPr>
        <w:rStyle w:val="PageNumber"/>
        <w:rFonts w:ascii="Arial" w:hAnsi="Arial" w:cs="Arial"/>
      </w:rPr>
      <w:instrText xml:space="preserve"> PAGE </w:instrText>
    </w:r>
    <w:r w:rsidRPr="008B04B3">
      <w:rPr>
        <w:rStyle w:val="PageNumber"/>
        <w:rFonts w:ascii="Arial" w:hAnsi="Arial" w:cs="Arial"/>
      </w:rPr>
      <w:fldChar w:fldCharType="separate"/>
    </w:r>
    <w:r w:rsidR="00A705CE">
      <w:rPr>
        <w:rStyle w:val="PageNumber"/>
        <w:rFonts w:ascii="Arial" w:hAnsi="Arial" w:cs="Arial"/>
        <w:noProof/>
      </w:rPr>
      <w:t>401</w:t>
    </w:r>
    <w:r w:rsidRPr="008B04B3">
      <w:rPr>
        <w:rStyle w:val="PageNumber"/>
        <w:rFonts w:ascii="Arial" w:hAnsi="Arial" w:cs="Arial"/>
      </w:rPr>
      <w:fldChar w:fldCharType="end"/>
    </w:r>
  </w:p>
  <w:p w:rsidR="00B47552" w:rsidRPr="008B04B3" w:rsidRDefault="00B47552" w:rsidP="008B04B3">
    <w:pPr>
      <w:pStyle w:val="Header"/>
      <w:tabs>
        <w:tab w:val="clear" w:pos="4320"/>
        <w:tab w:val="clear" w:pos="8640"/>
      </w:tabs>
      <w:ind w:right="45"/>
      <w:jc w:val="right"/>
      <w:rPr>
        <w:rStyle w:val="PageNumbe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42FC1C53" wp14:editId="5CD771A5">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032E9C"/>
    <w:multiLevelType w:val="hybridMultilevel"/>
    <w:tmpl w:val="FC0CF974"/>
    <w:lvl w:ilvl="0" w:tplc="7536000E">
      <w:start w:val="1"/>
      <w:numFmt w:val="decimal"/>
      <w:lvlText w:val="[%1]"/>
      <w:lvlJc w:val="left"/>
      <w:pPr>
        <w:ind w:left="360" w:hanging="360"/>
      </w:pPr>
      <w:rPr>
        <w:rFonts w:hint="default"/>
        <w:sz w:val="18"/>
        <w:szCs w:val="18"/>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FF47AA"/>
    <w:multiLevelType w:val="hybridMultilevel"/>
    <w:tmpl w:val="15A0E908"/>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297DF1"/>
    <w:multiLevelType w:val="hybridMultilevel"/>
    <w:tmpl w:val="A888EF06"/>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302693"/>
    <w:multiLevelType w:val="hybridMultilevel"/>
    <w:tmpl w:val="497477CA"/>
    <w:lvl w:ilvl="0" w:tplc="360E38A4">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nsid w:val="70F114CC"/>
    <w:multiLevelType w:val="multilevel"/>
    <w:tmpl w:val="1EB8CC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num w:numId="1">
    <w:abstractNumId w:val="15"/>
  </w:num>
  <w:num w:numId="2">
    <w:abstractNumId w:val="8"/>
  </w:num>
  <w:num w:numId="3">
    <w:abstractNumId w:val="17"/>
  </w:num>
  <w:num w:numId="4">
    <w:abstractNumId w:val="7"/>
  </w:num>
  <w:num w:numId="5">
    <w:abstractNumId w:val="10"/>
  </w:num>
  <w:num w:numId="6">
    <w:abstractNumId w:val="16"/>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8"/>
  </w:num>
  <w:num w:numId="16">
    <w:abstractNumId w:val="14"/>
  </w:num>
  <w:num w:numId="17">
    <w:abstractNumId w:val="12"/>
  </w:num>
  <w:num w:numId="18">
    <w:abstractNumId w:val="13"/>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4B71"/>
    <w:rsid w:val="00005EFC"/>
    <w:rsid w:val="00007744"/>
    <w:rsid w:val="000106D0"/>
    <w:rsid w:val="00012CEF"/>
    <w:rsid w:val="00014633"/>
    <w:rsid w:val="00015F2A"/>
    <w:rsid w:val="00017858"/>
    <w:rsid w:val="000213C3"/>
    <w:rsid w:val="00024C53"/>
    <w:rsid w:val="00027142"/>
    <w:rsid w:val="000279BE"/>
    <w:rsid w:val="000315F7"/>
    <w:rsid w:val="00034C84"/>
    <w:rsid w:val="000416A3"/>
    <w:rsid w:val="000437AE"/>
    <w:rsid w:val="000474E3"/>
    <w:rsid w:val="00047710"/>
    <w:rsid w:val="000523C5"/>
    <w:rsid w:val="00053FB7"/>
    <w:rsid w:val="0006020A"/>
    <w:rsid w:val="00060330"/>
    <w:rsid w:val="00060F5C"/>
    <w:rsid w:val="00061BCC"/>
    <w:rsid w:val="00061D77"/>
    <w:rsid w:val="0006256E"/>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468"/>
    <w:rsid w:val="000A592D"/>
    <w:rsid w:val="000A620A"/>
    <w:rsid w:val="000A643C"/>
    <w:rsid w:val="000A7ACA"/>
    <w:rsid w:val="000B0641"/>
    <w:rsid w:val="000B3F82"/>
    <w:rsid w:val="000B4FF0"/>
    <w:rsid w:val="000B5480"/>
    <w:rsid w:val="000B682B"/>
    <w:rsid w:val="000C03DA"/>
    <w:rsid w:val="000C2FEA"/>
    <w:rsid w:val="000C4B17"/>
    <w:rsid w:val="000C4C56"/>
    <w:rsid w:val="000C5C51"/>
    <w:rsid w:val="000C730A"/>
    <w:rsid w:val="000D099B"/>
    <w:rsid w:val="000D28FB"/>
    <w:rsid w:val="000D2B65"/>
    <w:rsid w:val="000D50C8"/>
    <w:rsid w:val="000D5EE7"/>
    <w:rsid w:val="000D64FD"/>
    <w:rsid w:val="000D6591"/>
    <w:rsid w:val="000D6BC3"/>
    <w:rsid w:val="000E0AE1"/>
    <w:rsid w:val="000E0C84"/>
    <w:rsid w:val="000E0CE9"/>
    <w:rsid w:val="000E0E3C"/>
    <w:rsid w:val="000E1C9D"/>
    <w:rsid w:val="000E28E0"/>
    <w:rsid w:val="000E46C5"/>
    <w:rsid w:val="000E4FD6"/>
    <w:rsid w:val="000E708C"/>
    <w:rsid w:val="000F1297"/>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491A"/>
    <w:rsid w:val="00117326"/>
    <w:rsid w:val="00117C85"/>
    <w:rsid w:val="00121C37"/>
    <w:rsid w:val="00122833"/>
    <w:rsid w:val="00124757"/>
    <w:rsid w:val="00124C16"/>
    <w:rsid w:val="00125C41"/>
    <w:rsid w:val="00126B1A"/>
    <w:rsid w:val="00131532"/>
    <w:rsid w:val="0013179E"/>
    <w:rsid w:val="00131A6C"/>
    <w:rsid w:val="00131E4C"/>
    <w:rsid w:val="00133B59"/>
    <w:rsid w:val="00136716"/>
    <w:rsid w:val="00137465"/>
    <w:rsid w:val="00137E25"/>
    <w:rsid w:val="00137F36"/>
    <w:rsid w:val="0014167F"/>
    <w:rsid w:val="001434C3"/>
    <w:rsid w:val="001441CB"/>
    <w:rsid w:val="00145453"/>
    <w:rsid w:val="0014611F"/>
    <w:rsid w:val="00146861"/>
    <w:rsid w:val="001517E4"/>
    <w:rsid w:val="00151E7C"/>
    <w:rsid w:val="00153224"/>
    <w:rsid w:val="00153387"/>
    <w:rsid w:val="00154C55"/>
    <w:rsid w:val="0015739F"/>
    <w:rsid w:val="00157C06"/>
    <w:rsid w:val="00157F2B"/>
    <w:rsid w:val="00161845"/>
    <w:rsid w:val="00161D8A"/>
    <w:rsid w:val="00162849"/>
    <w:rsid w:val="00166432"/>
    <w:rsid w:val="00167012"/>
    <w:rsid w:val="001671A8"/>
    <w:rsid w:val="001674A4"/>
    <w:rsid w:val="0016761A"/>
    <w:rsid w:val="00167BE2"/>
    <w:rsid w:val="0017238E"/>
    <w:rsid w:val="00177E2C"/>
    <w:rsid w:val="00180992"/>
    <w:rsid w:val="00180FD2"/>
    <w:rsid w:val="00180FD4"/>
    <w:rsid w:val="00181509"/>
    <w:rsid w:val="00181965"/>
    <w:rsid w:val="00182D8F"/>
    <w:rsid w:val="00185202"/>
    <w:rsid w:val="00187B69"/>
    <w:rsid w:val="0019050C"/>
    <w:rsid w:val="00192E8C"/>
    <w:rsid w:val="0019391D"/>
    <w:rsid w:val="00195579"/>
    <w:rsid w:val="00195E49"/>
    <w:rsid w:val="001A0839"/>
    <w:rsid w:val="001A2D45"/>
    <w:rsid w:val="001A33EF"/>
    <w:rsid w:val="001A6831"/>
    <w:rsid w:val="001A71C3"/>
    <w:rsid w:val="001B2439"/>
    <w:rsid w:val="001B2C59"/>
    <w:rsid w:val="001B2EF9"/>
    <w:rsid w:val="001B4AB3"/>
    <w:rsid w:val="001B5250"/>
    <w:rsid w:val="001B5719"/>
    <w:rsid w:val="001B621C"/>
    <w:rsid w:val="001B64D0"/>
    <w:rsid w:val="001B7915"/>
    <w:rsid w:val="001C0FE6"/>
    <w:rsid w:val="001C19EB"/>
    <w:rsid w:val="001C1DDC"/>
    <w:rsid w:val="001C2BC6"/>
    <w:rsid w:val="001C7AC5"/>
    <w:rsid w:val="001D04CA"/>
    <w:rsid w:val="001D19C3"/>
    <w:rsid w:val="001D218B"/>
    <w:rsid w:val="001E1922"/>
    <w:rsid w:val="001E2071"/>
    <w:rsid w:val="001E30D5"/>
    <w:rsid w:val="001E5CFB"/>
    <w:rsid w:val="001E608B"/>
    <w:rsid w:val="001E69C1"/>
    <w:rsid w:val="001E7DCD"/>
    <w:rsid w:val="001E7FFA"/>
    <w:rsid w:val="001F0AFC"/>
    <w:rsid w:val="001F44AD"/>
    <w:rsid w:val="001F470F"/>
    <w:rsid w:val="001F4ACD"/>
    <w:rsid w:val="001F6170"/>
    <w:rsid w:val="001F63D7"/>
    <w:rsid w:val="001F6ACF"/>
    <w:rsid w:val="001F6FB1"/>
    <w:rsid w:val="00204431"/>
    <w:rsid w:val="00204476"/>
    <w:rsid w:val="0020464A"/>
    <w:rsid w:val="00204A25"/>
    <w:rsid w:val="00205F36"/>
    <w:rsid w:val="0020608E"/>
    <w:rsid w:val="002073B6"/>
    <w:rsid w:val="002076CA"/>
    <w:rsid w:val="002079DD"/>
    <w:rsid w:val="00212DCC"/>
    <w:rsid w:val="002141C1"/>
    <w:rsid w:val="00215A82"/>
    <w:rsid w:val="00216F2A"/>
    <w:rsid w:val="002204A0"/>
    <w:rsid w:val="00220914"/>
    <w:rsid w:val="00221D61"/>
    <w:rsid w:val="00221FB3"/>
    <w:rsid w:val="00224456"/>
    <w:rsid w:val="00225BEA"/>
    <w:rsid w:val="00226552"/>
    <w:rsid w:val="00230440"/>
    <w:rsid w:val="00230AAB"/>
    <w:rsid w:val="00232081"/>
    <w:rsid w:val="00232DA1"/>
    <w:rsid w:val="0023388B"/>
    <w:rsid w:val="00234490"/>
    <w:rsid w:val="0023535A"/>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470"/>
    <w:rsid w:val="002743A4"/>
    <w:rsid w:val="00274BCC"/>
    <w:rsid w:val="00275406"/>
    <w:rsid w:val="002769E7"/>
    <w:rsid w:val="00280012"/>
    <w:rsid w:val="002811F8"/>
    <w:rsid w:val="00281882"/>
    <w:rsid w:val="00281D99"/>
    <w:rsid w:val="002821B9"/>
    <w:rsid w:val="0028450D"/>
    <w:rsid w:val="00291EBF"/>
    <w:rsid w:val="00292A87"/>
    <w:rsid w:val="00296D8E"/>
    <w:rsid w:val="002A0772"/>
    <w:rsid w:val="002A58A6"/>
    <w:rsid w:val="002B0601"/>
    <w:rsid w:val="002B10C7"/>
    <w:rsid w:val="002B1C48"/>
    <w:rsid w:val="002B66EF"/>
    <w:rsid w:val="002B6EC9"/>
    <w:rsid w:val="002B7609"/>
    <w:rsid w:val="002C0665"/>
    <w:rsid w:val="002C2C92"/>
    <w:rsid w:val="002C4749"/>
    <w:rsid w:val="002C6317"/>
    <w:rsid w:val="002D07B9"/>
    <w:rsid w:val="002D0C71"/>
    <w:rsid w:val="002D0F04"/>
    <w:rsid w:val="002D31A6"/>
    <w:rsid w:val="002D4A56"/>
    <w:rsid w:val="002D6BF0"/>
    <w:rsid w:val="002D797A"/>
    <w:rsid w:val="002E0BC4"/>
    <w:rsid w:val="002E2CAE"/>
    <w:rsid w:val="002E54AA"/>
    <w:rsid w:val="002E6409"/>
    <w:rsid w:val="002E7A00"/>
    <w:rsid w:val="002F063F"/>
    <w:rsid w:val="002F137A"/>
    <w:rsid w:val="002F267D"/>
    <w:rsid w:val="002F3FB3"/>
    <w:rsid w:val="002F41A4"/>
    <w:rsid w:val="002F48E3"/>
    <w:rsid w:val="002F6BBA"/>
    <w:rsid w:val="002F6DFA"/>
    <w:rsid w:val="002F7316"/>
    <w:rsid w:val="002F7C5F"/>
    <w:rsid w:val="0030038F"/>
    <w:rsid w:val="00302D7F"/>
    <w:rsid w:val="00304827"/>
    <w:rsid w:val="00306442"/>
    <w:rsid w:val="003069FB"/>
    <w:rsid w:val="00312A9C"/>
    <w:rsid w:val="00312C0C"/>
    <w:rsid w:val="00313AA2"/>
    <w:rsid w:val="003200C9"/>
    <w:rsid w:val="0032082B"/>
    <w:rsid w:val="003209C7"/>
    <w:rsid w:val="0032306D"/>
    <w:rsid w:val="00326170"/>
    <w:rsid w:val="003263E9"/>
    <w:rsid w:val="00326D35"/>
    <w:rsid w:val="00331183"/>
    <w:rsid w:val="00332063"/>
    <w:rsid w:val="003323B7"/>
    <w:rsid w:val="00333AB9"/>
    <w:rsid w:val="00333C06"/>
    <w:rsid w:val="0033459B"/>
    <w:rsid w:val="00335BE8"/>
    <w:rsid w:val="00337C87"/>
    <w:rsid w:val="0034265F"/>
    <w:rsid w:val="00343A49"/>
    <w:rsid w:val="00346441"/>
    <w:rsid w:val="003475EC"/>
    <w:rsid w:val="0035076B"/>
    <w:rsid w:val="00352BEB"/>
    <w:rsid w:val="00353885"/>
    <w:rsid w:val="00357FBD"/>
    <w:rsid w:val="003602FF"/>
    <w:rsid w:val="00361EB1"/>
    <w:rsid w:val="003629D1"/>
    <w:rsid w:val="003631E5"/>
    <w:rsid w:val="003637CE"/>
    <w:rsid w:val="00364F40"/>
    <w:rsid w:val="00366EC9"/>
    <w:rsid w:val="003715EC"/>
    <w:rsid w:val="0037196D"/>
    <w:rsid w:val="00373753"/>
    <w:rsid w:val="00373985"/>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916"/>
    <w:rsid w:val="003C72E2"/>
    <w:rsid w:val="003D07D2"/>
    <w:rsid w:val="003D79CF"/>
    <w:rsid w:val="003E0207"/>
    <w:rsid w:val="003E304D"/>
    <w:rsid w:val="003E3C53"/>
    <w:rsid w:val="003E4AA5"/>
    <w:rsid w:val="003F0964"/>
    <w:rsid w:val="003F18A1"/>
    <w:rsid w:val="003F1D93"/>
    <w:rsid w:val="003F2EB6"/>
    <w:rsid w:val="003F370A"/>
    <w:rsid w:val="003F4897"/>
    <w:rsid w:val="003F6587"/>
    <w:rsid w:val="00402C7D"/>
    <w:rsid w:val="00403A74"/>
    <w:rsid w:val="00403DB0"/>
    <w:rsid w:val="00407351"/>
    <w:rsid w:val="00407C2D"/>
    <w:rsid w:val="004106DF"/>
    <w:rsid w:val="00411A71"/>
    <w:rsid w:val="00411C0C"/>
    <w:rsid w:val="0041399A"/>
    <w:rsid w:val="00414535"/>
    <w:rsid w:val="00420294"/>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6CBE"/>
    <w:rsid w:val="0048797E"/>
    <w:rsid w:val="00487DD3"/>
    <w:rsid w:val="004902C8"/>
    <w:rsid w:val="004905D4"/>
    <w:rsid w:val="00490889"/>
    <w:rsid w:val="00492E44"/>
    <w:rsid w:val="00494005"/>
    <w:rsid w:val="004947B9"/>
    <w:rsid w:val="0049514C"/>
    <w:rsid w:val="00496DFD"/>
    <w:rsid w:val="004A09EE"/>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C74A1"/>
    <w:rsid w:val="004D377C"/>
    <w:rsid w:val="004D7295"/>
    <w:rsid w:val="004D78C2"/>
    <w:rsid w:val="004E140A"/>
    <w:rsid w:val="004E154B"/>
    <w:rsid w:val="004E1914"/>
    <w:rsid w:val="004E3613"/>
    <w:rsid w:val="004E3CAD"/>
    <w:rsid w:val="004E6C69"/>
    <w:rsid w:val="004F101E"/>
    <w:rsid w:val="004F2A11"/>
    <w:rsid w:val="004F2E0D"/>
    <w:rsid w:val="004F3166"/>
    <w:rsid w:val="004F3208"/>
    <w:rsid w:val="004F54D2"/>
    <w:rsid w:val="004F6193"/>
    <w:rsid w:val="004F722F"/>
    <w:rsid w:val="004F7337"/>
    <w:rsid w:val="004F7E87"/>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6DC4"/>
    <w:rsid w:val="005373E3"/>
    <w:rsid w:val="00537F98"/>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5027"/>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A4F"/>
    <w:rsid w:val="005E4727"/>
    <w:rsid w:val="005E4789"/>
    <w:rsid w:val="005E6EF7"/>
    <w:rsid w:val="005E736A"/>
    <w:rsid w:val="005E75FC"/>
    <w:rsid w:val="005F042D"/>
    <w:rsid w:val="005F3D1C"/>
    <w:rsid w:val="005F4EE8"/>
    <w:rsid w:val="005F534C"/>
    <w:rsid w:val="005F75F8"/>
    <w:rsid w:val="00600283"/>
    <w:rsid w:val="006005D4"/>
    <w:rsid w:val="00600C9F"/>
    <w:rsid w:val="006044C7"/>
    <w:rsid w:val="006123B6"/>
    <w:rsid w:val="00613977"/>
    <w:rsid w:val="0061627D"/>
    <w:rsid w:val="006206C7"/>
    <w:rsid w:val="00622EC4"/>
    <w:rsid w:val="0062488B"/>
    <w:rsid w:val="006304E8"/>
    <w:rsid w:val="006327F1"/>
    <w:rsid w:val="00636167"/>
    <w:rsid w:val="00644417"/>
    <w:rsid w:val="00645F56"/>
    <w:rsid w:val="00647075"/>
    <w:rsid w:val="00652EBE"/>
    <w:rsid w:val="0065493A"/>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46BC"/>
    <w:rsid w:val="00685AA5"/>
    <w:rsid w:val="00685FB4"/>
    <w:rsid w:val="006863DA"/>
    <w:rsid w:val="00687CA7"/>
    <w:rsid w:val="00687D3A"/>
    <w:rsid w:val="006917F6"/>
    <w:rsid w:val="006925E2"/>
    <w:rsid w:val="00694C9A"/>
    <w:rsid w:val="006958C6"/>
    <w:rsid w:val="006A0231"/>
    <w:rsid w:val="006A090C"/>
    <w:rsid w:val="006A1384"/>
    <w:rsid w:val="006A2270"/>
    <w:rsid w:val="006A34DA"/>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C6A"/>
    <w:rsid w:val="00712D75"/>
    <w:rsid w:val="00712FFF"/>
    <w:rsid w:val="007142C8"/>
    <w:rsid w:val="00717A32"/>
    <w:rsid w:val="00720729"/>
    <w:rsid w:val="007212E2"/>
    <w:rsid w:val="00723DEB"/>
    <w:rsid w:val="00731AEB"/>
    <w:rsid w:val="00733364"/>
    <w:rsid w:val="00740C36"/>
    <w:rsid w:val="00741A8F"/>
    <w:rsid w:val="00742008"/>
    <w:rsid w:val="00743BA0"/>
    <w:rsid w:val="00747DFD"/>
    <w:rsid w:val="00754329"/>
    <w:rsid w:val="007547A1"/>
    <w:rsid w:val="00756A93"/>
    <w:rsid w:val="0075769A"/>
    <w:rsid w:val="00765DEF"/>
    <w:rsid w:val="00766E46"/>
    <w:rsid w:val="00770E6E"/>
    <w:rsid w:val="00771A7C"/>
    <w:rsid w:val="00771E96"/>
    <w:rsid w:val="0077230A"/>
    <w:rsid w:val="00772725"/>
    <w:rsid w:val="00773EB7"/>
    <w:rsid w:val="00774E67"/>
    <w:rsid w:val="007751AA"/>
    <w:rsid w:val="00777AD7"/>
    <w:rsid w:val="00791477"/>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2DFE"/>
    <w:rsid w:val="007D7A78"/>
    <w:rsid w:val="007E2440"/>
    <w:rsid w:val="007E2D77"/>
    <w:rsid w:val="007E5812"/>
    <w:rsid w:val="007E68A5"/>
    <w:rsid w:val="007F1EC7"/>
    <w:rsid w:val="007F36F4"/>
    <w:rsid w:val="007F3EAF"/>
    <w:rsid w:val="007F40B0"/>
    <w:rsid w:val="007F5F38"/>
    <w:rsid w:val="007F665B"/>
    <w:rsid w:val="0080219B"/>
    <w:rsid w:val="008042C8"/>
    <w:rsid w:val="00805CFD"/>
    <w:rsid w:val="00807F15"/>
    <w:rsid w:val="008120DE"/>
    <w:rsid w:val="0081359D"/>
    <w:rsid w:val="008136A0"/>
    <w:rsid w:val="00813CDD"/>
    <w:rsid w:val="00814164"/>
    <w:rsid w:val="00815A2E"/>
    <w:rsid w:val="008168B9"/>
    <w:rsid w:val="00820B4E"/>
    <w:rsid w:val="00821BE8"/>
    <w:rsid w:val="00822488"/>
    <w:rsid w:val="00823B38"/>
    <w:rsid w:val="00823F1C"/>
    <w:rsid w:val="00824697"/>
    <w:rsid w:val="00827A30"/>
    <w:rsid w:val="008318B8"/>
    <w:rsid w:val="00831DDD"/>
    <w:rsid w:val="00832386"/>
    <w:rsid w:val="008332DA"/>
    <w:rsid w:val="008344C2"/>
    <w:rsid w:val="008346B6"/>
    <w:rsid w:val="00834BAC"/>
    <w:rsid w:val="00836D01"/>
    <w:rsid w:val="008379F3"/>
    <w:rsid w:val="00837EA3"/>
    <w:rsid w:val="008439A0"/>
    <w:rsid w:val="00843BE9"/>
    <w:rsid w:val="0084657F"/>
    <w:rsid w:val="008508FF"/>
    <w:rsid w:val="00850CAC"/>
    <w:rsid w:val="0085238C"/>
    <w:rsid w:val="008530DA"/>
    <w:rsid w:val="008538D0"/>
    <w:rsid w:val="00853BF4"/>
    <w:rsid w:val="00854ED5"/>
    <w:rsid w:val="00855965"/>
    <w:rsid w:val="00856356"/>
    <w:rsid w:val="008563F2"/>
    <w:rsid w:val="0086033E"/>
    <w:rsid w:val="00860671"/>
    <w:rsid w:val="00862CD2"/>
    <w:rsid w:val="0086508B"/>
    <w:rsid w:val="00866E4F"/>
    <w:rsid w:val="0087156B"/>
    <w:rsid w:val="00872D7E"/>
    <w:rsid w:val="008754E6"/>
    <w:rsid w:val="0087776F"/>
    <w:rsid w:val="0088280A"/>
    <w:rsid w:val="00883EB7"/>
    <w:rsid w:val="00892C9F"/>
    <w:rsid w:val="00892FBD"/>
    <w:rsid w:val="00893174"/>
    <w:rsid w:val="00893AD8"/>
    <w:rsid w:val="00893BAF"/>
    <w:rsid w:val="00893D2C"/>
    <w:rsid w:val="00894D11"/>
    <w:rsid w:val="0089523F"/>
    <w:rsid w:val="008967E5"/>
    <w:rsid w:val="00897BCF"/>
    <w:rsid w:val="008A0147"/>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2A1B"/>
    <w:rsid w:val="008C38EB"/>
    <w:rsid w:val="008C414B"/>
    <w:rsid w:val="008C54EA"/>
    <w:rsid w:val="008C671C"/>
    <w:rsid w:val="008C7817"/>
    <w:rsid w:val="008D14A9"/>
    <w:rsid w:val="008D3BDF"/>
    <w:rsid w:val="008D7EA2"/>
    <w:rsid w:val="008E1CA4"/>
    <w:rsid w:val="008E1DB1"/>
    <w:rsid w:val="008E3FAA"/>
    <w:rsid w:val="008E737C"/>
    <w:rsid w:val="008F05B8"/>
    <w:rsid w:val="008F0C9D"/>
    <w:rsid w:val="008F0D5A"/>
    <w:rsid w:val="008F1C12"/>
    <w:rsid w:val="008F5A4B"/>
    <w:rsid w:val="008F5EF9"/>
    <w:rsid w:val="008F5F6F"/>
    <w:rsid w:val="00900EC1"/>
    <w:rsid w:val="00901214"/>
    <w:rsid w:val="0090171F"/>
    <w:rsid w:val="00904735"/>
    <w:rsid w:val="00904D6D"/>
    <w:rsid w:val="00904EC8"/>
    <w:rsid w:val="00906951"/>
    <w:rsid w:val="0091187A"/>
    <w:rsid w:val="00912FBC"/>
    <w:rsid w:val="00913D3B"/>
    <w:rsid w:val="00913F75"/>
    <w:rsid w:val="00917B49"/>
    <w:rsid w:val="00921D05"/>
    <w:rsid w:val="0092257C"/>
    <w:rsid w:val="009314C3"/>
    <w:rsid w:val="009317FD"/>
    <w:rsid w:val="00937252"/>
    <w:rsid w:val="009406FF"/>
    <w:rsid w:val="009416C1"/>
    <w:rsid w:val="0094367D"/>
    <w:rsid w:val="00943FA1"/>
    <w:rsid w:val="00945A5C"/>
    <w:rsid w:val="00946389"/>
    <w:rsid w:val="0094738D"/>
    <w:rsid w:val="00950EF7"/>
    <w:rsid w:val="00954DC1"/>
    <w:rsid w:val="00954E79"/>
    <w:rsid w:val="00955462"/>
    <w:rsid w:val="009617A9"/>
    <w:rsid w:val="00966037"/>
    <w:rsid w:val="009665BE"/>
    <w:rsid w:val="009673AB"/>
    <w:rsid w:val="00970E84"/>
    <w:rsid w:val="00971153"/>
    <w:rsid w:val="009808A2"/>
    <w:rsid w:val="00981036"/>
    <w:rsid w:val="00981E5F"/>
    <w:rsid w:val="00982EB0"/>
    <w:rsid w:val="00983846"/>
    <w:rsid w:val="00990CC8"/>
    <w:rsid w:val="0099227E"/>
    <w:rsid w:val="009949C5"/>
    <w:rsid w:val="009A19B2"/>
    <w:rsid w:val="009B3EC0"/>
    <w:rsid w:val="009B5FE8"/>
    <w:rsid w:val="009B62B1"/>
    <w:rsid w:val="009B76C2"/>
    <w:rsid w:val="009C080D"/>
    <w:rsid w:val="009C5293"/>
    <w:rsid w:val="009D2D37"/>
    <w:rsid w:val="009D41DF"/>
    <w:rsid w:val="009D5D48"/>
    <w:rsid w:val="009D709E"/>
    <w:rsid w:val="009E0249"/>
    <w:rsid w:val="009E055A"/>
    <w:rsid w:val="009E0F0F"/>
    <w:rsid w:val="009E36AC"/>
    <w:rsid w:val="009E4FB4"/>
    <w:rsid w:val="009E5694"/>
    <w:rsid w:val="009E585B"/>
    <w:rsid w:val="009E5EB5"/>
    <w:rsid w:val="009F040E"/>
    <w:rsid w:val="00A02DD3"/>
    <w:rsid w:val="00A04D6C"/>
    <w:rsid w:val="00A05622"/>
    <w:rsid w:val="00A1136A"/>
    <w:rsid w:val="00A16250"/>
    <w:rsid w:val="00A162E4"/>
    <w:rsid w:val="00A1689B"/>
    <w:rsid w:val="00A17296"/>
    <w:rsid w:val="00A17D28"/>
    <w:rsid w:val="00A21621"/>
    <w:rsid w:val="00A22457"/>
    <w:rsid w:val="00A22900"/>
    <w:rsid w:val="00A31379"/>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5CE"/>
    <w:rsid w:val="00A71C8A"/>
    <w:rsid w:val="00A71ED6"/>
    <w:rsid w:val="00A73E20"/>
    <w:rsid w:val="00A77E76"/>
    <w:rsid w:val="00A80090"/>
    <w:rsid w:val="00A8123B"/>
    <w:rsid w:val="00A83511"/>
    <w:rsid w:val="00A85A64"/>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5EA"/>
    <w:rsid w:val="00AC1F08"/>
    <w:rsid w:val="00AC60ED"/>
    <w:rsid w:val="00AD564C"/>
    <w:rsid w:val="00AD7639"/>
    <w:rsid w:val="00AE0A9E"/>
    <w:rsid w:val="00AE3182"/>
    <w:rsid w:val="00AE43A3"/>
    <w:rsid w:val="00AF095A"/>
    <w:rsid w:val="00AF1119"/>
    <w:rsid w:val="00AF59C3"/>
    <w:rsid w:val="00B011BB"/>
    <w:rsid w:val="00B0163B"/>
    <w:rsid w:val="00B04312"/>
    <w:rsid w:val="00B0539A"/>
    <w:rsid w:val="00B0540B"/>
    <w:rsid w:val="00B06669"/>
    <w:rsid w:val="00B06F09"/>
    <w:rsid w:val="00B14358"/>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7552"/>
    <w:rsid w:val="00B514D3"/>
    <w:rsid w:val="00B51BC7"/>
    <w:rsid w:val="00B52134"/>
    <w:rsid w:val="00B56063"/>
    <w:rsid w:val="00B570B0"/>
    <w:rsid w:val="00B57714"/>
    <w:rsid w:val="00B61620"/>
    <w:rsid w:val="00B64061"/>
    <w:rsid w:val="00B659B2"/>
    <w:rsid w:val="00B65BB6"/>
    <w:rsid w:val="00B702B8"/>
    <w:rsid w:val="00B7048C"/>
    <w:rsid w:val="00B7089A"/>
    <w:rsid w:val="00B71D8A"/>
    <w:rsid w:val="00B73F7D"/>
    <w:rsid w:val="00B743B9"/>
    <w:rsid w:val="00B768D7"/>
    <w:rsid w:val="00B778A3"/>
    <w:rsid w:val="00B809F3"/>
    <w:rsid w:val="00B85932"/>
    <w:rsid w:val="00B87588"/>
    <w:rsid w:val="00B9198C"/>
    <w:rsid w:val="00B92474"/>
    <w:rsid w:val="00B944FA"/>
    <w:rsid w:val="00BA2419"/>
    <w:rsid w:val="00BB0F2F"/>
    <w:rsid w:val="00BB140D"/>
    <w:rsid w:val="00BB1C66"/>
    <w:rsid w:val="00BB359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20F0"/>
    <w:rsid w:val="00BE3232"/>
    <w:rsid w:val="00BE520C"/>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22F0A"/>
    <w:rsid w:val="00C2325B"/>
    <w:rsid w:val="00C25B1C"/>
    <w:rsid w:val="00C26299"/>
    <w:rsid w:val="00C300DD"/>
    <w:rsid w:val="00C311E4"/>
    <w:rsid w:val="00C322BB"/>
    <w:rsid w:val="00C33540"/>
    <w:rsid w:val="00C350F2"/>
    <w:rsid w:val="00C35B73"/>
    <w:rsid w:val="00C35B8F"/>
    <w:rsid w:val="00C35FBE"/>
    <w:rsid w:val="00C40E59"/>
    <w:rsid w:val="00C418BF"/>
    <w:rsid w:val="00C4258F"/>
    <w:rsid w:val="00C44562"/>
    <w:rsid w:val="00C453FB"/>
    <w:rsid w:val="00C463A9"/>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F0"/>
    <w:rsid w:val="00C80CAC"/>
    <w:rsid w:val="00C8516B"/>
    <w:rsid w:val="00C85B81"/>
    <w:rsid w:val="00C9178F"/>
    <w:rsid w:val="00C92654"/>
    <w:rsid w:val="00C93F76"/>
    <w:rsid w:val="00C9655A"/>
    <w:rsid w:val="00C967DB"/>
    <w:rsid w:val="00C96FCA"/>
    <w:rsid w:val="00C9754D"/>
    <w:rsid w:val="00C975DF"/>
    <w:rsid w:val="00CA5D84"/>
    <w:rsid w:val="00CB60BD"/>
    <w:rsid w:val="00CC1960"/>
    <w:rsid w:val="00CC207D"/>
    <w:rsid w:val="00CD0691"/>
    <w:rsid w:val="00CD5363"/>
    <w:rsid w:val="00CD7200"/>
    <w:rsid w:val="00CE1CF3"/>
    <w:rsid w:val="00CE70F3"/>
    <w:rsid w:val="00CE7659"/>
    <w:rsid w:val="00CF0E18"/>
    <w:rsid w:val="00CF29A4"/>
    <w:rsid w:val="00CF2F2E"/>
    <w:rsid w:val="00CF624D"/>
    <w:rsid w:val="00CF6E34"/>
    <w:rsid w:val="00D01276"/>
    <w:rsid w:val="00D066D9"/>
    <w:rsid w:val="00D076EF"/>
    <w:rsid w:val="00D108C5"/>
    <w:rsid w:val="00D10D7A"/>
    <w:rsid w:val="00D1187F"/>
    <w:rsid w:val="00D11C2D"/>
    <w:rsid w:val="00D12A4B"/>
    <w:rsid w:val="00D1618D"/>
    <w:rsid w:val="00D167B1"/>
    <w:rsid w:val="00D16D1B"/>
    <w:rsid w:val="00D201A8"/>
    <w:rsid w:val="00D21F66"/>
    <w:rsid w:val="00D24B66"/>
    <w:rsid w:val="00D24C22"/>
    <w:rsid w:val="00D2644D"/>
    <w:rsid w:val="00D31492"/>
    <w:rsid w:val="00D3478B"/>
    <w:rsid w:val="00D35E12"/>
    <w:rsid w:val="00D36D90"/>
    <w:rsid w:val="00D413DD"/>
    <w:rsid w:val="00D4189D"/>
    <w:rsid w:val="00D424E3"/>
    <w:rsid w:val="00D42604"/>
    <w:rsid w:val="00D43436"/>
    <w:rsid w:val="00D4389A"/>
    <w:rsid w:val="00D4436A"/>
    <w:rsid w:val="00D45829"/>
    <w:rsid w:val="00D45DEF"/>
    <w:rsid w:val="00D45FB7"/>
    <w:rsid w:val="00D46347"/>
    <w:rsid w:val="00D46954"/>
    <w:rsid w:val="00D51E72"/>
    <w:rsid w:val="00D5289F"/>
    <w:rsid w:val="00D54DBC"/>
    <w:rsid w:val="00D570F3"/>
    <w:rsid w:val="00D61780"/>
    <w:rsid w:val="00D61C85"/>
    <w:rsid w:val="00D624E5"/>
    <w:rsid w:val="00D634A8"/>
    <w:rsid w:val="00D646E0"/>
    <w:rsid w:val="00D64C3D"/>
    <w:rsid w:val="00D65A1C"/>
    <w:rsid w:val="00D67099"/>
    <w:rsid w:val="00D71939"/>
    <w:rsid w:val="00D72D27"/>
    <w:rsid w:val="00D73317"/>
    <w:rsid w:val="00D743C8"/>
    <w:rsid w:val="00D743DA"/>
    <w:rsid w:val="00D744B5"/>
    <w:rsid w:val="00D745B1"/>
    <w:rsid w:val="00D753F3"/>
    <w:rsid w:val="00D9045B"/>
    <w:rsid w:val="00D90EA9"/>
    <w:rsid w:val="00D941C3"/>
    <w:rsid w:val="00D94A99"/>
    <w:rsid w:val="00D95324"/>
    <w:rsid w:val="00D9566B"/>
    <w:rsid w:val="00DA0390"/>
    <w:rsid w:val="00DA1940"/>
    <w:rsid w:val="00DA3C3C"/>
    <w:rsid w:val="00DB05EC"/>
    <w:rsid w:val="00DB166E"/>
    <w:rsid w:val="00DB3D8C"/>
    <w:rsid w:val="00DB43B8"/>
    <w:rsid w:val="00DB7BD1"/>
    <w:rsid w:val="00DB7C8A"/>
    <w:rsid w:val="00DC2DC5"/>
    <w:rsid w:val="00DC5624"/>
    <w:rsid w:val="00DC75D8"/>
    <w:rsid w:val="00DD02CA"/>
    <w:rsid w:val="00DD35E7"/>
    <w:rsid w:val="00DD3B82"/>
    <w:rsid w:val="00DD5486"/>
    <w:rsid w:val="00DD650E"/>
    <w:rsid w:val="00DD7968"/>
    <w:rsid w:val="00DE00E1"/>
    <w:rsid w:val="00DE0B7E"/>
    <w:rsid w:val="00DE1418"/>
    <w:rsid w:val="00DE2205"/>
    <w:rsid w:val="00DE421E"/>
    <w:rsid w:val="00DE4C0B"/>
    <w:rsid w:val="00DE5454"/>
    <w:rsid w:val="00DE7F41"/>
    <w:rsid w:val="00DF0104"/>
    <w:rsid w:val="00DF0F50"/>
    <w:rsid w:val="00DF2309"/>
    <w:rsid w:val="00DF28DC"/>
    <w:rsid w:val="00DF38D4"/>
    <w:rsid w:val="00DF3915"/>
    <w:rsid w:val="00DF44AC"/>
    <w:rsid w:val="00DF4CE2"/>
    <w:rsid w:val="00E0168F"/>
    <w:rsid w:val="00E020BD"/>
    <w:rsid w:val="00E11FC4"/>
    <w:rsid w:val="00E12071"/>
    <w:rsid w:val="00E12660"/>
    <w:rsid w:val="00E12838"/>
    <w:rsid w:val="00E15BBF"/>
    <w:rsid w:val="00E15ECD"/>
    <w:rsid w:val="00E23F00"/>
    <w:rsid w:val="00E26A0F"/>
    <w:rsid w:val="00E318D4"/>
    <w:rsid w:val="00E339EE"/>
    <w:rsid w:val="00E3557A"/>
    <w:rsid w:val="00E4014C"/>
    <w:rsid w:val="00E401FC"/>
    <w:rsid w:val="00E42D1B"/>
    <w:rsid w:val="00E46FAB"/>
    <w:rsid w:val="00E474DC"/>
    <w:rsid w:val="00E50B5A"/>
    <w:rsid w:val="00E53EE3"/>
    <w:rsid w:val="00E55EA9"/>
    <w:rsid w:val="00E56307"/>
    <w:rsid w:val="00E56D55"/>
    <w:rsid w:val="00E56F52"/>
    <w:rsid w:val="00E57F76"/>
    <w:rsid w:val="00E60696"/>
    <w:rsid w:val="00E62028"/>
    <w:rsid w:val="00E6393C"/>
    <w:rsid w:val="00E67E51"/>
    <w:rsid w:val="00E76877"/>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46B"/>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476"/>
    <w:rsid w:val="00EE005A"/>
    <w:rsid w:val="00EE05CF"/>
    <w:rsid w:val="00EE10AE"/>
    <w:rsid w:val="00EE2DA2"/>
    <w:rsid w:val="00EE4290"/>
    <w:rsid w:val="00EE589E"/>
    <w:rsid w:val="00EE58CA"/>
    <w:rsid w:val="00EE76D0"/>
    <w:rsid w:val="00EF1185"/>
    <w:rsid w:val="00EF133F"/>
    <w:rsid w:val="00EF137F"/>
    <w:rsid w:val="00EF754D"/>
    <w:rsid w:val="00F027E9"/>
    <w:rsid w:val="00F0775E"/>
    <w:rsid w:val="00F15F69"/>
    <w:rsid w:val="00F1612D"/>
    <w:rsid w:val="00F173DD"/>
    <w:rsid w:val="00F21119"/>
    <w:rsid w:val="00F25164"/>
    <w:rsid w:val="00F277D3"/>
    <w:rsid w:val="00F30997"/>
    <w:rsid w:val="00F32896"/>
    <w:rsid w:val="00F4138E"/>
    <w:rsid w:val="00F41AE7"/>
    <w:rsid w:val="00F41F44"/>
    <w:rsid w:val="00F42D17"/>
    <w:rsid w:val="00F457A0"/>
    <w:rsid w:val="00F46492"/>
    <w:rsid w:val="00F46FBC"/>
    <w:rsid w:val="00F477B5"/>
    <w:rsid w:val="00F47B01"/>
    <w:rsid w:val="00F5057E"/>
    <w:rsid w:val="00F53410"/>
    <w:rsid w:val="00F541F8"/>
    <w:rsid w:val="00F5470A"/>
    <w:rsid w:val="00F551E6"/>
    <w:rsid w:val="00F5563D"/>
    <w:rsid w:val="00F56891"/>
    <w:rsid w:val="00F61288"/>
    <w:rsid w:val="00F64CD4"/>
    <w:rsid w:val="00F658EE"/>
    <w:rsid w:val="00F65AB2"/>
    <w:rsid w:val="00F66364"/>
    <w:rsid w:val="00F66C47"/>
    <w:rsid w:val="00F672E9"/>
    <w:rsid w:val="00F73E78"/>
    <w:rsid w:val="00F740C2"/>
    <w:rsid w:val="00F7591E"/>
    <w:rsid w:val="00F75EF9"/>
    <w:rsid w:val="00F77A9B"/>
    <w:rsid w:val="00F80AAD"/>
    <w:rsid w:val="00F83035"/>
    <w:rsid w:val="00F83C01"/>
    <w:rsid w:val="00F866B0"/>
    <w:rsid w:val="00F869EF"/>
    <w:rsid w:val="00F86BE4"/>
    <w:rsid w:val="00F86C7B"/>
    <w:rsid w:val="00F86D61"/>
    <w:rsid w:val="00F905B6"/>
    <w:rsid w:val="00F90B31"/>
    <w:rsid w:val="00F914B2"/>
    <w:rsid w:val="00F926B9"/>
    <w:rsid w:val="00F9541D"/>
    <w:rsid w:val="00FA0403"/>
    <w:rsid w:val="00FA2A14"/>
    <w:rsid w:val="00FA597D"/>
    <w:rsid w:val="00FA5B9A"/>
    <w:rsid w:val="00FB01B9"/>
    <w:rsid w:val="00FB763A"/>
    <w:rsid w:val="00FB79C0"/>
    <w:rsid w:val="00FC0ACA"/>
    <w:rsid w:val="00FC2EB8"/>
    <w:rsid w:val="00FC5C43"/>
    <w:rsid w:val="00FD1598"/>
    <w:rsid w:val="00FD576E"/>
    <w:rsid w:val="00FD596B"/>
    <w:rsid w:val="00FE58CC"/>
    <w:rsid w:val="00FE75A9"/>
    <w:rsid w:val="00FF058D"/>
    <w:rsid w:val="00FF1766"/>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paragraph" w:customStyle="1" w:styleId="ReferenceHeading">
    <w:name w:val="Reference Heading"/>
    <w:basedOn w:val="Normal"/>
    <w:next w:val="Normal"/>
    <w:rsid w:val="001A71C3"/>
    <w:pPr>
      <w:keepNext/>
      <w:ind w:left="235" w:hangingChars="117" w:hanging="235"/>
      <w:jc w:val="both"/>
    </w:pPr>
    <w:rPr>
      <w:rFonts w:eastAsia="MS Mincho"/>
      <w:b/>
      <w:bCs/>
      <w:kern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paragraph" w:customStyle="1" w:styleId="ReferenceHeading">
    <w:name w:val="Reference Heading"/>
    <w:basedOn w:val="Normal"/>
    <w:next w:val="Normal"/>
    <w:rsid w:val="001A71C3"/>
    <w:pPr>
      <w:keepNext/>
      <w:ind w:left="235" w:hangingChars="117" w:hanging="235"/>
      <w:jc w:val="both"/>
    </w:pPr>
    <w:rPr>
      <w:rFonts w:eastAsia="MS Mincho"/>
      <w:b/>
      <w:bCs/>
      <w:kern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TELKOMNIKA</vt:lpstr>
    </vt:vector>
  </TitlesOfParts>
  <Company>cairo</Company>
  <LinksUpToDate>false</LinksUpToDate>
  <CharactersWithSpaces>26330</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creator>Talenta</dc:creator>
  <cp:lastModifiedBy>ismail - [2010]</cp:lastModifiedBy>
  <cp:revision>7</cp:revision>
  <cp:lastPrinted>2004-12-30T03:27:00Z</cp:lastPrinted>
  <dcterms:created xsi:type="dcterms:W3CDTF">2018-05-09T13:17:00Z</dcterms:created>
  <dcterms:modified xsi:type="dcterms:W3CDTF">2018-05-09T18:18:00Z</dcterms:modified>
</cp:coreProperties>
</file>